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4B" w:rsidRDefault="0069244B" w:rsidP="0013663E">
      <w:pPr>
        <w:spacing w:line="360" w:lineRule="auto"/>
        <w:jc w:val="center"/>
      </w:pPr>
      <w:r w:rsidRPr="00BF6FB6">
        <w:rPr>
          <w:rFonts w:ascii="標楷體" w:eastAsia="標楷體" w:hAnsi="標楷體" w:hint="eastAsia"/>
          <w:sz w:val="32"/>
          <w:szCs w:val="32"/>
        </w:rPr>
        <w:t>美琪</w:t>
      </w:r>
      <w:proofErr w:type="gramStart"/>
      <w:r w:rsidRPr="00BF6FB6">
        <w:rPr>
          <w:rFonts w:ascii="標楷體" w:eastAsia="標楷體" w:hAnsi="標楷體" w:hint="eastAsia"/>
          <w:sz w:val="32"/>
          <w:szCs w:val="32"/>
        </w:rPr>
        <w:t>瑪</w:t>
      </w:r>
      <w:proofErr w:type="gramEnd"/>
      <w:r w:rsidRPr="00BF6FB6">
        <w:rPr>
          <w:rFonts w:ascii="標楷體" w:eastAsia="標楷體" w:hAnsi="標楷體" w:hint="eastAsia"/>
          <w:sz w:val="32"/>
          <w:szCs w:val="32"/>
        </w:rPr>
        <w:t>國際股份有限公司</w:t>
      </w:r>
    </w:p>
    <w:p w:rsidR="0013663E" w:rsidRPr="0013663E" w:rsidRDefault="0013663E" w:rsidP="0013663E">
      <w:pPr>
        <w:spacing w:line="360" w:lineRule="auto"/>
        <w:jc w:val="center"/>
        <w:rPr>
          <w:rFonts w:ascii="標楷體" w:eastAsia="標楷體" w:hAnsi="標楷體"/>
          <w:sz w:val="26"/>
          <w:szCs w:val="26"/>
        </w:rPr>
      </w:pPr>
      <w:r w:rsidRPr="0013663E">
        <w:rPr>
          <w:rFonts w:ascii="標楷體" w:eastAsia="標楷體" w:hAnsi="標楷體" w:hint="eastAsia"/>
          <w:sz w:val="26"/>
          <w:szCs w:val="26"/>
        </w:rPr>
        <w:t>風險管理政策</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t>第一條</w:t>
      </w:r>
      <w:r w:rsidRPr="002C4A8E">
        <w:rPr>
          <w:rFonts w:eastAsia="標楷體"/>
          <w:szCs w:val="26"/>
        </w:rPr>
        <w:t xml:space="preserve"> </w:t>
      </w:r>
      <w:r w:rsidRPr="002C4A8E">
        <w:rPr>
          <w:rFonts w:eastAsia="標楷體" w:hint="eastAsia"/>
          <w:szCs w:val="26"/>
        </w:rPr>
        <w:t>為確保本公司穩健經營</w:t>
      </w:r>
      <w:r w:rsidR="00C2075B">
        <w:rPr>
          <w:rFonts w:eastAsia="標楷體" w:hint="eastAsia"/>
          <w:szCs w:val="26"/>
        </w:rPr>
        <w:t>、</w:t>
      </w:r>
      <w:r w:rsidRPr="002C4A8E">
        <w:rPr>
          <w:rFonts w:eastAsia="標楷體" w:hint="eastAsia"/>
          <w:szCs w:val="26"/>
        </w:rPr>
        <w:t>永續發展</w:t>
      </w:r>
      <w:r w:rsidR="00AF4AFD">
        <w:rPr>
          <w:rFonts w:eastAsia="標楷體" w:hint="eastAsia"/>
          <w:szCs w:val="26"/>
        </w:rPr>
        <w:t>與</w:t>
      </w:r>
      <w:r w:rsidR="00AF4AFD" w:rsidRPr="00AF4AFD">
        <w:rPr>
          <w:rFonts w:eastAsia="標楷體" w:hint="eastAsia"/>
          <w:szCs w:val="26"/>
        </w:rPr>
        <w:t>風險管理制度之完整性，</w:t>
      </w:r>
      <w:r w:rsidRPr="002C4A8E">
        <w:rPr>
          <w:rFonts w:eastAsia="標楷體" w:hint="eastAsia"/>
          <w:szCs w:val="26"/>
        </w:rPr>
        <w:t>並作為各類風險管理及執行依據，特制定本政策。</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t>第二條</w:t>
      </w:r>
      <w:r w:rsidRPr="002C4A8E">
        <w:rPr>
          <w:rFonts w:eastAsia="標楷體"/>
          <w:szCs w:val="26"/>
        </w:rPr>
        <w:t xml:space="preserve"> </w:t>
      </w:r>
      <w:r w:rsidRPr="002C4A8E">
        <w:rPr>
          <w:rFonts w:eastAsia="標楷體" w:hint="eastAsia"/>
          <w:szCs w:val="26"/>
        </w:rPr>
        <w:t>本政策係遵循金融監督管理委員會</w:t>
      </w:r>
      <w:r w:rsidRPr="002C4A8E">
        <w:rPr>
          <w:rFonts w:eastAsia="標楷體"/>
          <w:szCs w:val="26"/>
        </w:rPr>
        <w:t xml:space="preserve"> 10</w:t>
      </w:r>
      <w:r w:rsidR="002C4A8E" w:rsidRPr="002C4A8E">
        <w:rPr>
          <w:rFonts w:eastAsia="標楷體" w:hint="eastAsia"/>
          <w:szCs w:val="26"/>
        </w:rPr>
        <w:t>3</w:t>
      </w:r>
      <w:r w:rsidRPr="002C4A8E">
        <w:rPr>
          <w:rFonts w:eastAsia="標楷體"/>
          <w:szCs w:val="26"/>
        </w:rPr>
        <w:t xml:space="preserve"> </w:t>
      </w:r>
      <w:r w:rsidRPr="002C4A8E">
        <w:rPr>
          <w:rFonts w:eastAsia="標楷體" w:hint="eastAsia"/>
          <w:szCs w:val="26"/>
        </w:rPr>
        <w:t>年</w:t>
      </w:r>
      <w:r w:rsidRPr="002C4A8E">
        <w:rPr>
          <w:rFonts w:eastAsia="標楷體"/>
          <w:szCs w:val="26"/>
        </w:rPr>
        <w:t xml:space="preserve"> </w:t>
      </w:r>
      <w:r w:rsidR="002C4A8E" w:rsidRPr="002C4A8E">
        <w:rPr>
          <w:rFonts w:eastAsia="標楷體" w:hint="eastAsia"/>
          <w:szCs w:val="26"/>
        </w:rPr>
        <w:t>9</w:t>
      </w:r>
      <w:r w:rsidRPr="002C4A8E">
        <w:rPr>
          <w:rFonts w:eastAsia="標楷體"/>
          <w:szCs w:val="26"/>
        </w:rPr>
        <w:t xml:space="preserve"> </w:t>
      </w:r>
      <w:r w:rsidRPr="002C4A8E">
        <w:rPr>
          <w:rFonts w:eastAsia="標楷體" w:hint="eastAsia"/>
          <w:szCs w:val="26"/>
        </w:rPr>
        <w:t>月</w:t>
      </w:r>
      <w:r w:rsidRPr="002C4A8E">
        <w:rPr>
          <w:rFonts w:eastAsia="標楷體"/>
          <w:szCs w:val="26"/>
        </w:rPr>
        <w:t xml:space="preserve"> 2</w:t>
      </w:r>
      <w:r w:rsidR="002C4A8E" w:rsidRPr="002C4A8E">
        <w:rPr>
          <w:rFonts w:eastAsia="標楷體" w:hint="eastAsia"/>
          <w:szCs w:val="26"/>
        </w:rPr>
        <w:t>2</w:t>
      </w:r>
      <w:r w:rsidRPr="002C4A8E">
        <w:rPr>
          <w:rFonts w:eastAsia="標楷體"/>
          <w:szCs w:val="26"/>
        </w:rPr>
        <w:t xml:space="preserve"> </w:t>
      </w:r>
      <w:r w:rsidRPr="002C4A8E">
        <w:rPr>
          <w:rFonts w:eastAsia="標楷體" w:hint="eastAsia"/>
          <w:szCs w:val="26"/>
        </w:rPr>
        <w:t>日</w:t>
      </w:r>
      <w:r w:rsidR="002C4A8E" w:rsidRPr="002C4A8E">
        <w:rPr>
          <w:rFonts w:eastAsia="標楷體" w:hint="eastAsia"/>
          <w:szCs w:val="26"/>
        </w:rPr>
        <w:t>金融監督管理委員會金</w:t>
      </w:r>
      <w:proofErr w:type="gramStart"/>
      <w:r w:rsidR="002C4A8E" w:rsidRPr="002C4A8E">
        <w:rPr>
          <w:rFonts w:eastAsia="標楷體" w:hint="eastAsia"/>
          <w:szCs w:val="26"/>
        </w:rPr>
        <w:t>管證審字</w:t>
      </w:r>
      <w:proofErr w:type="gramEnd"/>
      <w:r w:rsidR="002C4A8E" w:rsidRPr="002C4A8E">
        <w:rPr>
          <w:rFonts w:eastAsia="標楷體" w:hint="eastAsia"/>
          <w:szCs w:val="26"/>
        </w:rPr>
        <w:t>第</w:t>
      </w:r>
      <w:r w:rsidR="002C4A8E" w:rsidRPr="002C4A8E">
        <w:rPr>
          <w:rFonts w:eastAsia="標楷體" w:hint="eastAsia"/>
          <w:szCs w:val="26"/>
        </w:rPr>
        <w:t xml:space="preserve">1030036318 </w:t>
      </w:r>
      <w:r w:rsidR="002C4A8E" w:rsidRPr="002C4A8E">
        <w:rPr>
          <w:rFonts w:eastAsia="標楷體" w:hint="eastAsia"/>
          <w:szCs w:val="26"/>
        </w:rPr>
        <w:t>號令</w:t>
      </w:r>
      <w:r w:rsidRPr="002C4A8E">
        <w:rPr>
          <w:rFonts w:eastAsia="標楷體" w:hint="eastAsia"/>
          <w:szCs w:val="26"/>
        </w:rPr>
        <w:t>修正「公開發行公司建立內部控制制度處理準則」之部分條文規範，公開發行公司宜訂定適當之風險管理政策與程序，建立有效風險管理機制，以評估及監督其風險承擔能力、已承受風險現況、決定風險因應策略及風險管理程序遵循情形。</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t>第三條</w:t>
      </w:r>
      <w:r w:rsidRPr="002C4A8E">
        <w:rPr>
          <w:rFonts w:eastAsia="標楷體"/>
          <w:szCs w:val="26"/>
        </w:rPr>
        <w:t xml:space="preserve"> </w:t>
      </w:r>
      <w:r w:rsidRPr="002C4A8E">
        <w:rPr>
          <w:rFonts w:eastAsia="標楷體" w:hint="eastAsia"/>
          <w:szCs w:val="26"/>
        </w:rPr>
        <w:t>本公司辦理各項業務應有效辨識、衡量、監督與控制各項風險，並將可能產生的風險控制在可承受之程度內以達成風險與報酬合理化之目標。</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t>第四條</w:t>
      </w:r>
      <w:r w:rsidRPr="002C4A8E">
        <w:rPr>
          <w:rFonts w:eastAsia="標楷體"/>
          <w:szCs w:val="26"/>
        </w:rPr>
        <w:t xml:space="preserve"> </w:t>
      </w:r>
      <w:r w:rsidRPr="002C4A8E">
        <w:rPr>
          <w:rFonts w:eastAsia="標楷體" w:hint="eastAsia"/>
          <w:szCs w:val="26"/>
        </w:rPr>
        <w:t>本公司從事資產負債表</w:t>
      </w:r>
      <w:proofErr w:type="gramStart"/>
      <w:r w:rsidRPr="002C4A8E">
        <w:rPr>
          <w:rFonts w:eastAsia="標楷體" w:hint="eastAsia"/>
          <w:szCs w:val="26"/>
        </w:rPr>
        <w:t>表</w:t>
      </w:r>
      <w:proofErr w:type="gramEnd"/>
      <w:r w:rsidRPr="002C4A8E">
        <w:rPr>
          <w:rFonts w:eastAsia="標楷體" w:hint="eastAsia"/>
          <w:szCs w:val="26"/>
        </w:rPr>
        <w:t>內及表外業務所涉及之各項風險，</w:t>
      </w:r>
      <w:proofErr w:type="gramStart"/>
      <w:r w:rsidRPr="002C4A8E">
        <w:rPr>
          <w:rFonts w:eastAsia="標楷體" w:hint="eastAsia"/>
          <w:szCs w:val="26"/>
        </w:rPr>
        <w:t>均應納入</w:t>
      </w:r>
      <w:proofErr w:type="gramEnd"/>
      <w:r w:rsidRPr="002C4A8E">
        <w:rPr>
          <w:rFonts w:eastAsia="標楷體" w:hint="eastAsia"/>
          <w:szCs w:val="26"/>
        </w:rPr>
        <w:t>管理，除應遵守主管機關相關規定外，悉依本風險管理政策暨相關風險管理準則與規定辦理。</w:t>
      </w:r>
    </w:p>
    <w:p w:rsidR="0013663E" w:rsidRPr="002C4A8E" w:rsidRDefault="0013663E" w:rsidP="002C4A8E">
      <w:pPr>
        <w:spacing w:line="360" w:lineRule="auto"/>
        <w:rPr>
          <w:rFonts w:eastAsia="標楷體"/>
          <w:szCs w:val="26"/>
        </w:rPr>
      </w:pPr>
      <w:r w:rsidRPr="002C4A8E">
        <w:rPr>
          <w:rFonts w:eastAsia="標楷體" w:hint="eastAsia"/>
          <w:szCs w:val="26"/>
        </w:rPr>
        <w:t>第五條</w:t>
      </w:r>
      <w:r w:rsidRPr="002C4A8E">
        <w:rPr>
          <w:rFonts w:eastAsia="標楷體" w:hint="eastAsia"/>
          <w:szCs w:val="26"/>
        </w:rPr>
        <w:t xml:space="preserve"> </w:t>
      </w:r>
      <w:r w:rsidRPr="002C4A8E">
        <w:rPr>
          <w:rFonts w:eastAsia="標楷體" w:hint="eastAsia"/>
          <w:szCs w:val="26"/>
        </w:rPr>
        <w:t>本公司從事各項業務所涉及之風險包括：</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一、信用風險：客戶、供應商、同行對手或其他業務往來者</w:t>
      </w:r>
      <w:r w:rsidRPr="002C4A8E">
        <w:rPr>
          <w:rFonts w:eastAsia="標楷體"/>
          <w:szCs w:val="26"/>
        </w:rPr>
        <w:t>(</w:t>
      </w:r>
      <w:r w:rsidRPr="002C4A8E">
        <w:rPr>
          <w:rFonts w:eastAsia="標楷體" w:hint="eastAsia"/>
          <w:szCs w:val="26"/>
        </w:rPr>
        <w:t>包含往來銀行</w:t>
      </w:r>
      <w:r w:rsidRPr="002C4A8E">
        <w:rPr>
          <w:rFonts w:eastAsia="標楷體"/>
          <w:szCs w:val="26"/>
        </w:rPr>
        <w:t>)</w:t>
      </w:r>
      <w:r w:rsidRPr="002C4A8E">
        <w:rPr>
          <w:rFonts w:eastAsia="標楷體" w:hint="eastAsia"/>
          <w:szCs w:val="26"/>
        </w:rPr>
        <w:t>因本身體質惡化或其他因素，導致客戶、供應商、同行對手或其他業務往來者</w:t>
      </w:r>
      <w:r w:rsidRPr="002C4A8E">
        <w:rPr>
          <w:rFonts w:eastAsia="標楷體"/>
          <w:szCs w:val="26"/>
        </w:rPr>
        <w:t>(</w:t>
      </w:r>
      <w:r w:rsidRPr="002C4A8E">
        <w:rPr>
          <w:rFonts w:eastAsia="標楷體" w:hint="eastAsia"/>
          <w:szCs w:val="26"/>
        </w:rPr>
        <w:t>包含往來銀行</w:t>
      </w:r>
      <w:r w:rsidRPr="002C4A8E">
        <w:rPr>
          <w:rFonts w:eastAsia="標楷體"/>
          <w:szCs w:val="26"/>
        </w:rPr>
        <w:t>)</w:t>
      </w:r>
      <w:r w:rsidRPr="002C4A8E">
        <w:rPr>
          <w:rFonts w:eastAsia="標楷體" w:hint="eastAsia"/>
          <w:szCs w:val="26"/>
        </w:rPr>
        <w:t>不履行其契約義務而產生之違約損失風險。</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二、市場風險：市場價格不利之變動，造成資產負債表</w:t>
      </w:r>
      <w:proofErr w:type="gramStart"/>
      <w:r w:rsidRPr="002C4A8E">
        <w:rPr>
          <w:rFonts w:eastAsia="標楷體" w:hint="eastAsia"/>
          <w:szCs w:val="26"/>
        </w:rPr>
        <w:t>表</w:t>
      </w:r>
      <w:proofErr w:type="gramEnd"/>
      <w:r w:rsidRPr="002C4A8E">
        <w:rPr>
          <w:rFonts w:eastAsia="標楷體" w:hint="eastAsia"/>
          <w:szCs w:val="26"/>
        </w:rPr>
        <w:t>內及表外部位可能產生之風險。</w:t>
      </w:r>
    </w:p>
    <w:p w:rsidR="0013663E" w:rsidRPr="002C4A8E" w:rsidRDefault="0013663E" w:rsidP="002C4A8E">
      <w:pPr>
        <w:spacing w:line="360" w:lineRule="auto"/>
        <w:ind w:leftChars="589" w:left="1414" w:firstLineChars="1" w:firstLine="2"/>
        <w:rPr>
          <w:rFonts w:eastAsia="標楷體"/>
          <w:szCs w:val="26"/>
        </w:rPr>
      </w:pPr>
      <w:r w:rsidRPr="002C4A8E">
        <w:rPr>
          <w:rFonts w:eastAsia="標楷體" w:hint="eastAsia"/>
          <w:szCs w:val="26"/>
        </w:rPr>
        <w:t>所謂市場價格指利率、匯率及</w:t>
      </w:r>
      <w:r w:rsidR="00C2075B" w:rsidRPr="002C4A8E">
        <w:rPr>
          <w:rFonts w:eastAsia="標楷體" w:hint="eastAsia"/>
          <w:szCs w:val="26"/>
        </w:rPr>
        <w:t>通貨膨</w:t>
      </w:r>
      <w:r w:rsidR="00C2075B">
        <w:rPr>
          <w:rFonts w:eastAsia="標楷體" w:hint="eastAsia"/>
          <w:szCs w:val="26"/>
        </w:rPr>
        <w:t>漲</w:t>
      </w:r>
      <w:r w:rsidRPr="002C4A8E">
        <w:rPr>
          <w:rFonts w:eastAsia="標楷體" w:hint="eastAsia"/>
          <w:szCs w:val="26"/>
        </w:rPr>
        <w:t>等。</w:t>
      </w:r>
    </w:p>
    <w:p w:rsidR="0013663E" w:rsidRPr="002C4A8E" w:rsidRDefault="0013663E" w:rsidP="002C4A8E">
      <w:pPr>
        <w:spacing w:line="360" w:lineRule="auto"/>
        <w:ind w:leftChars="472" w:left="1390" w:hangingChars="107" w:hanging="257"/>
        <w:rPr>
          <w:rFonts w:eastAsia="標楷體"/>
          <w:szCs w:val="26"/>
        </w:rPr>
      </w:pPr>
      <w:r w:rsidRPr="002C4A8E">
        <w:rPr>
          <w:rFonts w:eastAsia="標楷體"/>
          <w:szCs w:val="26"/>
        </w:rPr>
        <w:t>1.</w:t>
      </w:r>
      <w:r w:rsidRPr="002C4A8E">
        <w:rPr>
          <w:rFonts w:eastAsia="標楷體" w:hint="eastAsia"/>
          <w:szCs w:val="26"/>
        </w:rPr>
        <w:t>利率變動：</w:t>
      </w:r>
    </w:p>
    <w:p w:rsidR="0013663E" w:rsidRPr="002C4A8E" w:rsidRDefault="0013663E" w:rsidP="00C2075B">
      <w:pPr>
        <w:spacing w:line="360" w:lineRule="auto"/>
        <w:ind w:leftChars="590" w:left="1699" w:hangingChars="118" w:hanging="283"/>
        <w:rPr>
          <w:rFonts w:eastAsia="標楷體"/>
          <w:szCs w:val="26"/>
        </w:rPr>
      </w:pPr>
      <w:r w:rsidRPr="002C4A8E">
        <w:rPr>
          <w:rFonts w:eastAsia="標楷體"/>
          <w:szCs w:val="26"/>
        </w:rPr>
        <w:t>(1)</w:t>
      </w:r>
      <w:r w:rsidRPr="002C4A8E">
        <w:rPr>
          <w:rFonts w:eastAsia="標楷體" w:hint="eastAsia"/>
          <w:szCs w:val="26"/>
        </w:rPr>
        <w:t>公司與往來銀行保有良好之授信往來關係，未來將密切注意利率之變動，</w:t>
      </w:r>
      <w:r w:rsidRPr="002C4A8E">
        <w:rPr>
          <w:rFonts w:eastAsia="標楷體"/>
          <w:szCs w:val="26"/>
        </w:rPr>
        <w:t xml:space="preserve"> </w:t>
      </w:r>
      <w:r w:rsidRPr="002C4A8E">
        <w:rPr>
          <w:rFonts w:eastAsia="標楷體" w:hint="eastAsia"/>
          <w:szCs w:val="26"/>
        </w:rPr>
        <w:t>並積極與往來銀行爭取</w:t>
      </w:r>
      <w:proofErr w:type="gramStart"/>
      <w:r w:rsidRPr="002C4A8E">
        <w:rPr>
          <w:rFonts w:eastAsia="標楷體" w:hint="eastAsia"/>
          <w:szCs w:val="26"/>
        </w:rPr>
        <w:t>最佳之</w:t>
      </w:r>
      <w:proofErr w:type="gramEnd"/>
      <w:r w:rsidRPr="002C4A8E">
        <w:rPr>
          <w:rFonts w:eastAsia="標楷體" w:hint="eastAsia"/>
          <w:szCs w:val="26"/>
        </w:rPr>
        <w:t>利率。</w:t>
      </w:r>
    </w:p>
    <w:p w:rsidR="0013663E" w:rsidRPr="002C4A8E" w:rsidRDefault="0013663E" w:rsidP="00C2075B">
      <w:pPr>
        <w:spacing w:line="360" w:lineRule="auto"/>
        <w:ind w:leftChars="590" w:left="1699" w:hangingChars="118" w:hanging="283"/>
        <w:rPr>
          <w:rFonts w:eastAsia="標楷體"/>
          <w:szCs w:val="26"/>
        </w:rPr>
      </w:pPr>
      <w:r w:rsidRPr="002C4A8E">
        <w:rPr>
          <w:rFonts w:eastAsia="標楷體"/>
          <w:szCs w:val="26"/>
        </w:rPr>
        <w:t>(2)</w:t>
      </w:r>
      <w:r w:rsidRPr="002C4A8E">
        <w:rPr>
          <w:rFonts w:eastAsia="標楷體" w:hint="eastAsia"/>
          <w:szCs w:val="26"/>
        </w:rPr>
        <w:t>公司除仍基於</w:t>
      </w:r>
      <w:r w:rsidR="00C2075B" w:rsidRPr="002C4A8E">
        <w:rPr>
          <w:rFonts w:eastAsia="標楷體" w:hint="eastAsia"/>
          <w:szCs w:val="26"/>
        </w:rPr>
        <w:t>穩健</w:t>
      </w:r>
      <w:r w:rsidRPr="002C4A8E">
        <w:rPr>
          <w:rFonts w:eastAsia="標楷體" w:hint="eastAsia"/>
          <w:szCs w:val="26"/>
        </w:rPr>
        <w:t>保守原則，審慎運用閒置資金外，並將持續改善財務結構，有效控制資金成本。</w:t>
      </w:r>
    </w:p>
    <w:p w:rsidR="0013663E" w:rsidRPr="002C4A8E" w:rsidRDefault="0013663E" w:rsidP="002C4A8E">
      <w:pPr>
        <w:spacing w:line="360" w:lineRule="auto"/>
        <w:ind w:leftChars="472" w:left="1390" w:hangingChars="107" w:hanging="257"/>
        <w:rPr>
          <w:rFonts w:eastAsia="標楷體"/>
          <w:szCs w:val="26"/>
        </w:rPr>
      </w:pPr>
      <w:r w:rsidRPr="002C4A8E">
        <w:rPr>
          <w:rFonts w:eastAsia="標楷體"/>
          <w:szCs w:val="26"/>
        </w:rPr>
        <w:lastRenderedPageBreak/>
        <w:t>2.</w:t>
      </w:r>
      <w:r w:rsidRPr="002C4A8E">
        <w:rPr>
          <w:rFonts w:eastAsia="標楷體" w:hint="eastAsia"/>
          <w:szCs w:val="26"/>
        </w:rPr>
        <w:t>匯率變動：</w:t>
      </w:r>
    </w:p>
    <w:p w:rsidR="0013663E" w:rsidRPr="002C4A8E" w:rsidRDefault="0013663E" w:rsidP="002C4A8E">
      <w:pPr>
        <w:spacing w:line="360" w:lineRule="auto"/>
        <w:ind w:leftChars="589" w:left="1414" w:firstLineChars="1" w:firstLine="2"/>
        <w:rPr>
          <w:rFonts w:eastAsia="標楷體"/>
          <w:szCs w:val="26"/>
        </w:rPr>
      </w:pPr>
      <w:r w:rsidRPr="002C4A8E">
        <w:rPr>
          <w:rFonts w:eastAsia="標楷體" w:hint="eastAsia"/>
          <w:szCs w:val="26"/>
        </w:rPr>
        <w:t>公司外匯政策以保守穩健為原則，對於重大外銷、外購</w:t>
      </w:r>
      <w:proofErr w:type="gramStart"/>
      <w:r w:rsidRPr="002C4A8E">
        <w:rPr>
          <w:rFonts w:eastAsia="標楷體" w:hint="eastAsia"/>
          <w:szCs w:val="26"/>
        </w:rPr>
        <w:t>交易均以外幣</w:t>
      </w:r>
      <w:proofErr w:type="gramEnd"/>
      <w:r w:rsidRPr="002C4A8E">
        <w:rPr>
          <w:rFonts w:eastAsia="標楷體" w:hint="eastAsia"/>
          <w:szCs w:val="26"/>
        </w:rPr>
        <w:t>報價，除採取外幣收支互抵之自然避險方式外，並將與金融機構保持密切關係，持續觀察匯率變化情形，以減少因</w:t>
      </w:r>
      <w:r w:rsidR="00C2075B" w:rsidRPr="002C4A8E">
        <w:rPr>
          <w:rFonts w:eastAsia="標楷體" w:hint="eastAsia"/>
          <w:szCs w:val="26"/>
        </w:rPr>
        <w:t>匯率</w:t>
      </w:r>
      <w:r w:rsidRPr="002C4A8E">
        <w:rPr>
          <w:rFonts w:eastAsia="標楷體" w:hint="eastAsia"/>
          <w:szCs w:val="26"/>
        </w:rPr>
        <w:t>變動而對公司損益的影響。</w:t>
      </w:r>
    </w:p>
    <w:p w:rsidR="0013663E" w:rsidRPr="002C4A8E" w:rsidRDefault="0013663E" w:rsidP="002C4A8E">
      <w:pPr>
        <w:spacing w:line="360" w:lineRule="auto"/>
        <w:ind w:leftChars="472" w:left="1390" w:hangingChars="107" w:hanging="257"/>
        <w:rPr>
          <w:rFonts w:eastAsia="標楷體"/>
          <w:szCs w:val="26"/>
        </w:rPr>
      </w:pPr>
      <w:r w:rsidRPr="002C4A8E">
        <w:rPr>
          <w:rFonts w:eastAsia="標楷體" w:hint="eastAsia"/>
          <w:szCs w:val="26"/>
        </w:rPr>
        <w:t>3.</w:t>
      </w:r>
      <w:r w:rsidRPr="002C4A8E">
        <w:rPr>
          <w:rFonts w:eastAsia="標楷體" w:hint="eastAsia"/>
          <w:szCs w:val="26"/>
        </w:rPr>
        <w:t>通貨膨</w:t>
      </w:r>
      <w:r w:rsidR="00C2075B">
        <w:rPr>
          <w:rFonts w:eastAsia="標楷體" w:hint="eastAsia"/>
          <w:szCs w:val="26"/>
        </w:rPr>
        <w:t>漲</w:t>
      </w:r>
      <w:r w:rsidRPr="002C4A8E">
        <w:rPr>
          <w:rFonts w:eastAsia="標楷體" w:hint="eastAsia"/>
          <w:szCs w:val="26"/>
        </w:rPr>
        <w:t>：</w:t>
      </w:r>
    </w:p>
    <w:p w:rsidR="0013663E" w:rsidRPr="002C4A8E" w:rsidRDefault="0013663E" w:rsidP="002C4A8E">
      <w:pPr>
        <w:spacing w:line="360" w:lineRule="auto"/>
        <w:ind w:leftChars="589" w:left="1414" w:firstLineChars="1" w:firstLine="2"/>
        <w:rPr>
          <w:rFonts w:eastAsia="標楷體"/>
          <w:szCs w:val="26"/>
        </w:rPr>
      </w:pPr>
      <w:r w:rsidRPr="002C4A8E">
        <w:rPr>
          <w:rFonts w:eastAsia="標楷體" w:hint="eastAsia"/>
          <w:szCs w:val="26"/>
        </w:rPr>
        <w:t>公司隨時掌握上游供應商原材料之價格變化情形，減少因</w:t>
      </w:r>
      <w:r w:rsidR="00C2075B" w:rsidRPr="002C4A8E">
        <w:rPr>
          <w:rFonts w:eastAsia="標楷體" w:hint="eastAsia"/>
          <w:szCs w:val="26"/>
        </w:rPr>
        <w:t>通貨膨</w:t>
      </w:r>
      <w:r w:rsidR="00C2075B">
        <w:rPr>
          <w:rFonts w:eastAsia="標楷體" w:hint="eastAsia"/>
          <w:szCs w:val="26"/>
        </w:rPr>
        <w:t>漲</w:t>
      </w:r>
      <w:r w:rsidRPr="002C4A8E">
        <w:rPr>
          <w:rFonts w:eastAsia="標楷體" w:hint="eastAsia"/>
          <w:szCs w:val="26"/>
        </w:rPr>
        <w:t>而對公司損益之影響。</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三、流動性風險：因無法將資產</w:t>
      </w:r>
      <w:proofErr w:type="gramStart"/>
      <w:r w:rsidRPr="002C4A8E">
        <w:rPr>
          <w:rFonts w:eastAsia="標楷體" w:hint="eastAsia"/>
          <w:szCs w:val="26"/>
        </w:rPr>
        <w:t>變現或獲得</w:t>
      </w:r>
      <w:proofErr w:type="gramEnd"/>
      <w:r w:rsidRPr="002C4A8E">
        <w:rPr>
          <w:rFonts w:eastAsia="標楷體" w:hint="eastAsia"/>
          <w:szCs w:val="26"/>
        </w:rPr>
        <w:t>融資以提供資金靈活運用而可能承受損失之風險。</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四、作業風險：起因於本公司內部作業、人員及系統之不當或失誤，或因外部事件造成損失之風險。包括法律風險。</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五、供應鏈風險：資源與過程相聯結的組合，透過產品或服務之提供，跨越輸送模式至最終使用者之過程中，發生某事件使此過程無法達成或順利進行之風險。</w:t>
      </w:r>
    </w:p>
    <w:p w:rsidR="002C4A8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六、高風險、高槓桿投資：本公司專注於本業之經營，不從事高風險高槓桿查之投資。</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七、資金貸與他人：若公司因業務需要而需進行資金融通之必要時，將依公司訂定之「資金貸與他人作業程序」辦理，並依法令規定及時且正確公告各項資金貸與他人之資訊。</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八、背書保證：若公司需進行為他人背書保證之必要時，將依公司訂定之「背書保證作業程序」辦理，並依法令規定及時且正確的公告各項為他人背書保證之資訊。</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九、衍生性商品交易作業：若公司需進行衍生性商品交易之必要時，將依公司訂定「取得或處分資產處理程序」中之「取得或處分衍生性商品之處理程序」作業辦理，並依法令規定及時且正確的公告各項交易資訊。</w:t>
      </w:r>
    </w:p>
    <w:p w:rsidR="0013663E" w:rsidRPr="002C4A8E" w:rsidRDefault="0013663E" w:rsidP="002C4A8E">
      <w:pPr>
        <w:spacing w:line="360" w:lineRule="auto"/>
        <w:ind w:leftChars="354" w:left="1371" w:hangingChars="217" w:hanging="521"/>
        <w:rPr>
          <w:rFonts w:eastAsia="標楷體"/>
          <w:szCs w:val="26"/>
        </w:rPr>
      </w:pPr>
      <w:r w:rsidRPr="002C4A8E">
        <w:rPr>
          <w:rFonts w:eastAsia="標楷體" w:hint="eastAsia"/>
          <w:szCs w:val="26"/>
        </w:rPr>
        <w:t>十、其他風險：</w:t>
      </w:r>
      <w:r w:rsidR="00FD59A6">
        <w:rPr>
          <w:rFonts w:eastAsia="標楷體" w:hint="eastAsia"/>
          <w:szCs w:val="26"/>
        </w:rPr>
        <w:t>如氣候變遷</w:t>
      </w:r>
      <w:r w:rsidR="00FD59A6" w:rsidRPr="002C4A8E">
        <w:rPr>
          <w:rFonts w:eastAsia="標楷體" w:hint="eastAsia"/>
          <w:szCs w:val="26"/>
        </w:rPr>
        <w:t>，</w:t>
      </w:r>
      <w:r w:rsidR="00FD59A6">
        <w:rPr>
          <w:rFonts w:eastAsia="標楷體" w:hint="eastAsia"/>
          <w:szCs w:val="26"/>
        </w:rPr>
        <w:t>或</w:t>
      </w:r>
      <w:bookmarkStart w:id="0" w:name="_GoBack"/>
      <w:bookmarkEnd w:id="0"/>
      <w:r w:rsidRPr="002C4A8E">
        <w:rPr>
          <w:rFonts w:eastAsia="標楷體" w:hint="eastAsia"/>
          <w:szCs w:val="26"/>
        </w:rPr>
        <w:t>指上述以外之其他風險。</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lastRenderedPageBreak/>
        <w:t>第六條</w:t>
      </w:r>
      <w:r w:rsidRPr="002C4A8E">
        <w:rPr>
          <w:rFonts w:eastAsia="標楷體"/>
          <w:szCs w:val="26"/>
        </w:rPr>
        <w:t xml:space="preserve"> </w:t>
      </w:r>
      <w:r w:rsidRPr="002C4A8E">
        <w:rPr>
          <w:rFonts w:eastAsia="標楷體" w:hint="eastAsia"/>
          <w:szCs w:val="26"/>
        </w:rPr>
        <w:t>本公司各單位應依業務性質及風險分散原則，將本政策之各項風險因素納入管理，設定風險指標、訂定交易或授權權限、定期核計及評估各項風險乘數以及建立風險預警機制，並</w:t>
      </w:r>
      <w:proofErr w:type="gramStart"/>
      <w:r w:rsidRPr="002C4A8E">
        <w:rPr>
          <w:rFonts w:eastAsia="標楷體" w:hint="eastAsia"/>
          <w:szCs w:val="26"/>
        </w:rPr>
        <w:t>儘</w:t>
      </w:r>
      <w:proofErr w:type="gramEnd"/>
      <w:r w:rsidRPr="002C4A8E">
        <w:rPr>
          <w:rFonts w:eastAsia="標楷體" w:hint="eastAsia"/>
          <w:szCs w:val="26"/>
        </w:rPr>
        <w:t>可能以量化方式，模擬未來情境變化，以為管理因應之依據。</w:t>
      </w:r>
    </w:p>
    <w:p w:rsidR="0013663E" w:rsidRPr="002C4A8E" w:rsidRDefault="0013663E" w:rsidP="002C4A8E">
      <w:pPr>
        <w:spacing w:line="360" w:lineRule="auto"/>
        <w:rPr>
          <w:rFonts w:eastAsia="標楷體"/>
          <w:szCs w:val="26"/>
        </w:rPr>
      </w:pPr>
      <w:r w:rsidRPr="002C4A8E">
        <w:rPr>
          <w:rFonts w:eastAsia="標楷體" w:hint="eastAsia"/>
          <w:szCs w:val="26"/>
        </w:rPr>
        <w:t>第七條</w:t>
      </w:r>
      <w:r w:rsidRPr="002C4A8E">
        <w:rPr>
          <w:rFonts w:eastAsia="標楷體"/>
          <w:szCs w:val="26"/>
        </w:rPr>
        <w:t xml:space="preserve"> </w:t>
      </w:r>
      <w:r w:rsidRPr="002C4A8E">
        <w:rPr>
          <w:rFonts w:eastAsia="標楷體" w:hint="eastAsia"/>
          <w:szCs w:val="26"/>
        </w:rPr>
        <w:t>本公司之風險控管機制應包含下列原則：</w:t>
      </w:r>
    </w:p>
    <w:p w:rsidR="0013663E" w:rsidRPr="002C4A8E" w:rsidRDefault="0013663E" w:rsidP="002C4A8E">
      <w:pPr>
        <w:spacing w:line="360" w:lineRule="auto"/>
        <w:ind w:leftChars="354" w:left="1373" w:hangingChars="218" w:hanging="523"/>
        <w:rPr>
          <w:rFonts w:eastAsia="標楷體"/>
          <w:szCs w:val="26"/>
        </w:rPr>
      </w:pPr>
      <w:r w:rsidRPr="002C4A8E">
        <w:rPr>
          <w:rFonts w:eastAsia="標楷體" w:hint="eastAsia"/>
          <w:szCs w:val="26"/>
        </w:rPr>
        <w:t>一、應依信用風險、市場風險、作業風險與供應鏈風險狀況及未來營運趨勢，監控營運穩健性。</w:t>
      </w:r>
    </w:p>
    <w:p w:rsidR="0013663E" w:rsidRPr="002C4A8E" w:rsidRDefault="0013663E" w:rsidP="002C4A8E">
      <w:pPr>
        <w:spacing w:line="360" w:lineRule="auto"/>
        <w:ind w:leftChars="354" w:left="1373" w:hangingChars="218" w:hanging="523"/>
        <w:rPr>
          <w:rFonts w:eastAsia="標楷體"/>
          <w:szCs w:val="26"/>
        </w:rPr>
      </w:pPr>
      <w:r w:rsidRPr="002C4A8E">
        <w:rPr>
          <w:rFonts w:eastAsia="標楷體" w:hint="eastAsia"/>
          <w:szCs w:val="26"/>
        </w:rPr>
        <w:t>二、應建立衡量及監控流動性部位之管理機制，以衡量、監督、控管流動性風險。</w:t>
      </w:r>
    </w:p>
    <w:p w:rsidR="0013663E" w:rsidRPr="002C4A8E" w:rsidRDefault="0013663E" w:rsidP="002C4A8E">
      <w:pPr>
        <w:spacing w:line="360" w:lineRule="auto"/>
        <w:ind w:leftChars="354" w:left="1373" w:hangingChars="218" w:hanging="523"/>
        <w:rPr>
          <w:rFonts w:eastAsia="標楷體"/>
          <w:szCs w:val="26"/>
        </w:rPr>
      </w:pPr>
      <w:r w:rsidRPr="002C4A8E">
        <w:rPr>
          <w:rFonts w:eastAsia="標楷體" w:hint="eastAsia"/>
          <w:szCs w:val="26"/>
        </w:rPr>
        <w:t>三、應考量整體風險、資產及負債特性進行各項資產配置，建立各項業務風險之管理。</w:t>
      </w:r>
    </w:p>
    <w:p w:rsidR="0013663E" w:rsidRPr="002C4A8E" w:rsidRDefault="0013663E" w:rsidP="002C4A8E">
      <w:pPr>
        <w:spacing w:line="360" w:lineRule="auto"/>
        <w:ind w:leftChars="354" w:left="1373" w:hangingChars="218" w:hanging="523"/>
        <w:rPr>
          <w:rFonts w:eastAsia="標楷體"/>
          <w:szCs w:val="26"/>
        </w:rPr>
      </w:pPr>
      <w:r w:rsidRPr="002C4A8E">
        <w:rPr>
          <w:rFonts w:eastAsia="標楷體" w:hint="eastAsia"/>
          <w:szCs w:val="26"/>
        </w:rPr>
        <w:t>四、應建立本公司資產價值及影響性之評估方法，計算及控管大額風險，並定期檢視，擬定防範對策。</w:t>
      </w:r>
    </w:p>
    <w:p w:rsidR="002C4A8E" w:rsidRPr="002C4A8E" w:rsidRDefault="0013663E" w:rsidP="002C4A8E">
      <w:pPr>
        <w:spacing w:line="360" w:lineRule="auto"/>
        <w:ind w:leftChars="353" w:left="848" w:hanging="1"/>
        <w:rPr>
          <w:rFonts w:eastAsia="標楷體"/>
          <w:szCs w:val="26"/>
        </w:rPr>
      </w:pPr>
      <w:r w:rsidRPr="002C4A8E">
        <w:rPr>
          <w:rFonts w:eastAsia="標楷體" w:hint="eastAsia"/>
          <w:szCs w:val="26"/>
        </w:rPr>
        <w:t>應對本公司之業務或交易、資訊交互運用等建立資訊安全防護機制及緊急應變計畫。</w:t>
      </w:r>
    </w:p>
    <w:p w:rsidR="0013663E" w:rsidRPr="002C4A8E" w:rsidRDefault="0013663E" w:rsidP="002C4A8E">
      <w:pPr>
        <w:spacing w:line="360" w:lineRule="auto"/>
        <w:ind w:left="914" w:hangingChars="381" w:hanging="914"/>
        <w:rPr>
          <w:rFonts w:eastAsia="標楷體"/>
          <w:szCs w:val="26"/>
        </w:rPr>
      </w:pPr>
      <w:r w:rsidRPr="002C4A8E">
        <w:rPr>
          <w:rFonts w:eastAsia="標楷體" w:hint="eastAsia"/>
          <w:szCs w:val="26"/>
        </w:rPr>
        <w:t>第八條</w:t>
      </w:r>
      <w:r w:rsidRPr="002C4A8E">
        <w:rPr>
          <w:rFonts w:eastAsia="標楷體"/>
          <w:szCs w:val="26"/>
        </w:rPr>
        <w:t xml:space="preserve"> </w:t>
      </w:r>
      <w:r w:rsidRPr="002C4A8E">
        <w:rPr>
          <w:rFonts w:eastAsia="標楷體" w:hint="eastAsia"/>
          <w:szCs w:val="26"/>
        </w:rPr>
        <w:t>本公司對於日常營業活動及管理流程所面對之各項風險，應就其發生之可能性及影響性綜合評估，採取適當之對策。</w:t>
      </w:r>
    </w:p>
    <w:p w:rsidR="0013663E" w:rsidRPr="002C4A8E" w:rsidRDefault="0013663E" w:rsidP="002C4A8E">
      <w:pPr>
        <w:spacing w:line="360" w:lineRule="auto"/>
        <w:rPr>
          <w:rFonts w:eastAsia="標楷體"/>
          <w:szCs w:val="26"/>
        </w:rPr>
      </w:pPr>
      <w:r w:rsidRPr="002C4A8E">
        <w:rPr>
          <w:rFonts w:eastAsia="標楷體" w:hint="eastAsia"/>
          <w:szCs w:val="26"/>
        </w:rPr>
        <w:t>第九條</w:t>
      </w:r>
      <w:r w:rsidRPr="002C4A8E">
        <w:rPr>
          <w:rFonts w:eastAsia="標楷體"/>
          <w:szCs w:val="26"/>
        </w:rPr>
        <w:t xml:space="preserve"> </w:t>
      </w:r>
      <w:r w:rsidRPr="002C4A8E">
        <w:rPr>
          <w:rFonts w:eastAsia="標楷體" w:hint="eastAsia"/>
          <w:szCs w:val="26"/>
        </w:rPr>
        <w:t>本公司風險管理組織架構包括董事會、風險管理委員會及稽核室。</w:t>
      </w:r>
    </w:p>
    <w:p w:rsidR="0013663E" w:rsidRPr="002C4A8E" w:rsidRDefault="0013663E" w:rsidP="002C4A8E">
      <w:pPr>
        <w:spacing w:line="360" w:lineRule="auto"/>
        <w:ind w:leftChars="412" w:left="991" w:hanging="2"/>
        <w:rPr>
          <w:rFonts w:eastAsia="標楷體"/>
          <w:szCs w:val="26"/>
        </w:rPr>
      </w:pPr>
      <w:r w:rsidRPr="002C4A8E">
        <w:rPr>
          <w:rFonts w:eastAsia="標楷體" w:hint="eastAsia"/>
          <w:szCs w:val="26"/>
        </w:rPr>
        <w:t>董事會為本公司風險管理之最高決策單位，負責核定公司之風險管理政策、架構以及建立公司風險管理文化，對整體風險管理負有最終責任。</w:t>
      </w:r>
    </w:p>
    <w:p w:rsidR="0013663E" w:rsidRPr="002C4A8E" w:rsidRDefault="0013663E" w:rsidP="002C4A8E">
      <w:pPr>
        <w:spacing w:line="360" w:lineRule="auto"/>
        <w:ind w:leftChars="412" w:left="991" w:hanging="2"/>
        <w:rPr>
          <w:rFonts w:eastAsia="標楷體"/>
          <w:szCs w:val="26"/>
        </w:rPr>
      </w:pPr>
      <w:r w:rsidRPr="002C4A8E">
        <w:rPr>
          <w:rFonts w:eastAsia="標楷體" w:hint="eastAsia"/>
          <w:szCs w:val="26"/>
        </w:rPr>
        <w:t>風險管理委員會主任委員由董事長擔任，為本公司風險管理之最高階主管。</w:t>
      </w:r>
    </w:p>
    <w:p w:rsidR="0013663E" w:rsidRPr="002C4A8E" w:rsidRDefault="0013663E" w:rsidP="002C4A8E">
      <w:pPr>
        <w:spacing w:line="360" w:lineRule="auto"/>
        <w:ind w:leftChars="413" w:left="993" w:hanging="2"/>
        <w:rPr>
          <w:rFonts w:eastAsia="標楷體"/>
          <w:szCs w:val="26"/>
        </w:rPr>
      </w:pPr>
      <w:r w:rsidRPr="002C4A8E">
        <w:rPr>
          <w:rFonts w:eastAsia="標楷體" w:hint="eastAsia"/>
          <w:szCs w:val="26"/>
        </w:rPr>
        <w:t>風險管理委員會委員由董事長、各部門主要主管擔任，負責掌理及審議全</w:t>
      </w:r>
      <w:r w:rsidR="002C4A8E" w:rsidRPr="002C4A8E">
        <w:rPr>
          <w:rFonts w:eastAsia="標楷體" w:hint="eastAsia"/>
          <w:szCs w:val="26"/>
        </w:rPr>
        <w:t>公司</w:t>
      </w:r>
      <w:r w:rsidRPr="002C4A8E">
        <w:rPr>
          <w:rFonts w:eastAsia="標楷體" w:hint="eastAsia"/>
          <w:szCs w:val="26"/>
        </w:rPr>
        <w:t>風險管理執行狀況、風險評估與風險承擔情形。</w:t>
      </w:r>
    </w:p>
    <w:p w:rsidR="0013663E" w:rsidRPr="002C4A8E" w:rsidRDefault="0013663E" w:rsidP="002C4A8E">
      <w:pPr>
        <w:spacing w:line="360" w:lineRule="auto"/>
        <w:ind w:leftChars="413" w:left="993" w:hanging="2"/>
        <w:rPr>
          <w:rFonts w:eastAsia="標楷體"/>
          <w:szCs w:val="26"/>
        </w:rPr>
      </w:pPr>
      <w:r w:rsidRPr="002C4A8E">
        <w:rPr>
          <w:rFonts w:eastAsia="標楷體" w:hint="eastAsia"/>
          <w:szCs w:val="26"/>
        </w:rPr>
        <w:t>稽核室以獨立超然之精神執行稽核業務，對全公司風險有關業務每年至少應辦理一次查核，並適時提供改進建議。</w:t>
      </w:r>
    </w:p>
    <w:p w:rsidR="0013663E" w:rsidRPr="002C4A8E" w:rsidRDefault="0013663E" w:rsidP="002C4A8E">
      <w:pPr>
        <w:spacing w:line="360" w:lineRule="auto"/>
        <w:ind w:left="785" w:hangingChars="327" w:hanging="785"/>
        <w:rPr>
          <w:rFonts w:eastAsia="標楷體"/>
          <w:szCs w:val="26"/>
        </w:rPr>
      </w:pPr>
      <w:r w:rsidRPr="002C4A8E">
        <w:rPr>
          <w:rFonts w:eastAsia="標楷體" w:hint="eastAsia"/>
          <w:szCs w:val="26"/>
        </w:rPr>
        <w:t>第十條</w:t>
      </w:r>
      <w:r w:rsidRPr="002C4A8E">
        <w:rPr>
          <w:rFonts w:eastAsia="標楷體"/>
          <w:szCs w:val="26"/>
        </w:rPr>
        <w:t xml:space="preserve"> </w:t>
      </w:r>
      <w:r w:rsidRPr="002C4A8E">
        <w:rPr>
          <w:rFonts w:eastAsia="標楷體" w:hint="eastAsia"/>
          <w:szCs w:val="26"/>
        </w:rPr>
        <w:t>本</w:t>
      </w:r>
      <w:r w:rsidR="002C4A8E" w:rsidRPr="002C4A8E">
        <w:rPr>
          <w:rFonts w:eastAsia="標楷體" w:hint="eastAsia"/>
          <w:szCs w:val="26"/>
        </w:rPr>
        <w:t>公司</w:t>
      </w:r>
      <w:r w:rsidRPr="002C4A8E">
        <w:rPr>
          <w:rFonts w:eastAsia="標楷體" w:hint="eastAsia"/>
          <w:szCs w:val="26"/>
        </w:rPr>
        <w:t>有關各項風險之辨識、衡量、監控與報告等流程，應能因應經營環境與業務、營運活動之變化而調整。</w:t>
      </w:r>
    </w:p>
    <w:p w:rsidR="00A77B3E" w:rsidRPr="002C4A8E" w:rsidRDefault="0013663E" w:rsidP="002C4A8E">
      <w:pPr>
        <w:spacing w:line="360" w:lineRule="auto"/>
        <w:ind w:left="1046" w:hangingChars="436" w:hanging="1046"/>
        <w:rPr>
          <w:rFonts w:eastAsia="標楷體"/>
        </w:rPr>
      </w:pPr>
      <w:r w:rsidRPr="002C4A8E">
        <w:rPr>
          <w:rFonts w:eastAsia="標楷體" w:hint="eastAsia"/>
          <w:szCs w:val="26"/>
        </w:rPr>
        <w:lastRenderedPageBreak/>
        <w:t>第十一條</w:t>
      </w:r>
      <w:r w:rsidRPr="002C4A8E">
        <w:rPr>
          <w:rFonts w:eastAsia="標楷體"/>
          <w:szCs w:val="26"/>
        </w:rPr>
        <w:t xml:space="preserve"> </w:t>
      </w:r>
      <w:r w:rsidRPr="002C4A8E">
        <w:rPr>
          <w:rFonts w:eastAsia="標楷體" w:hint="eastAsia"/>
          <w:szCs w:val="26"/>
        </w:rPr>
        <w:t>風險辨識時，應涵蓋本</w:t>
      </w:r>
      <w:r w:rsidR="002C4A8E" w:rsidRPr="002C4A8E">
        <w:rPr>
          <w:rFonts w:eastAsia="標楷體" w:hint="eastAsia"/>
          <w:szCs w:val="26"/>
        </w:rPr>
        <w:t>公司</w:t>
      </w:r>
      <w:r w:rsidRPr="002C4A8E">
        <w:rPr>
          <w:rFonts w:eastAsia="標楷體" w:hint="eastAsia"/>
          <w:szCs w:val="26"/>
        </w:rPr>
        <w:t>各項業務與營運活動，以充分瞭解本</w:t>
      </w:r>
      <w:r w:rsidR="002C4A8E" w:rsidRPr="002C4A8E">
        <w:rPr>
          <w:rFonts w:eastAsia="標楷體" w:hint="eastAsia"/>
          <w:szCs w:val="26"/>
        </w:rPr>
        <w:t>公司</w:t>
      </w:r>
      <w:r w:rsidRPr="002C4A8E">
        <w:rPr>
          <w:rFonts w:eastAsia="標楷體" w:hint="eastAsia"/>
          <w:szCs w:val="26"/>
        </w:rPr>
        <w:t>風險概況，並考量外部環境，掌握全</w:t>
      </w:r>
      <w:r w:rsidR="002C4A8E" w:rsidRPr="002C4A8E">
        <w:rPr>
          <w:rFonts w:eastAsia="標楷體" w:hint="eastAsia"/>
          <w:szCs w:val="26"/>
        </w:rPr>
        <w:t>公司</w:t>
      </w:r>
      <w:r w:rsidRPr="002C4A8E">
        <w:rPr>
          <w:rFonts w:eastAsia="標楷體" w:hint="eastAsia"/>
          <w:szCs w:val="26"/>
        </w:rPr>
        <w:t>風險變動情形。</w:t>
      </w:r>
    </w:p>
    <w:p w:rsidR="00A77B3E" w:rsidRPr="002C4A8E" w:rsidRDefault="00AC2DD8" w:rsidP="008278FD">
      <w:pPr>
        <w:spacing w:line="360" w:lineRule="auto"/>
        <w:ind w:left="991" w:hangingChars="413" w:hanging="991"/>
        <w:rPr>
          <w:rFonts w:eastAsia="標楷體"/>
        </w:rPr>
      </w:pPr>
      <w:r w:rsidRPr="002C4A8E">
        <w:rPr>
          <w:rFonts w:eastAsia="標楷體"/>
        </w:rPr>
        <w:t>第十</w:t>
      </w:r>
      <w:r w:rsidR="009019F2">
        <w:rPr>
          <w:rFonts w:eastAsia="標楷體" w:hint="eastAsia"/>
        </w:rPr>
        <w:t>二</w:t>
      </w:r>
      <w:r w:rsidRPr="002C4A8E">
        <w:rPr>
          <w:rFonts w:eastAsia="標楷體"/>
        </w:rPr>
        <w:t>條</w:t>
      </w:r>
      <w:r w:rsidR="009019F2">
        <w:rPr>
          <w:rFonts w:eastAsia="標楷體" w:hint="eastAsia"/>
        </w:rPr>
        <w:t xml:space="preserve"> </w:t>
      </w:r>
      <w:r w:rsidR="008278FD" w:rsidRPr="008278FD">
        <w:rPr>
          <w:rFonts w:eastAsia="標楷體" w:hint="eastAsia"/>
        </w:rPr>
        <w:t>本風險管理政策經董事會</w:t>
      </w:r>
      <w:r w:rsidR="00C2784E" w:rsidRPr="002D1EF9">
        <w:rPr>
          <w:rFonts w:eastAsia="標楷體"/>
        </w:rPr>
        <w:t>討論通過後施行</w:t>
      </w:r>
      <w:r w:rsidR="008278FD" w:rsidRPr="008278FD">
        <w:rPr>
          <w:rFonts w:eastAsia="標楷體" w:hint="eastAsia"/>
        </w:rPr>
        <w:t>，修訂時亦同。</w:t>
      </w:r>
    </w:p>
    <w:p w:rsidR="0069244B" w:rsidRPr="002C4A8E" w:rsidRDefault="009019F2" w:rsidP="002C4A8E">
      <w:pPr>
        <w:pStyle w:val="a7"/>
        <w:spacing w:line="360" w:lineRule="auto"/>
        <w:ind w:left="0" w:firstLine="0"/>
        <w:rPr>
          <w:rFonts w:ascii="Times New Roman" w:eastAsia="標楷體"/>
          <w:szCs w:val="26"/>
        </w:rPr>
      </w:pPr>
      <w:r w:rsidRPr="002C4A8E">
        <w:rPr>
          <w:rFonts w:ascii="Times New Roman" w:eastAsia="標楷體"/>
        </w:rPr>
        <w:t>第十</w:t>
      </w:r>
      <w:r>
        <w:rPr>
          <w:rFonts w:ascii="Times New Roman" w:eastAsia="標楷體" w:hint="eastAsia"/>
        </w:rPr>
        <w:t>三</w:t>
      </w:r>
      <w:r w:rsidRPr="002C4A8E">
        <w:rPr>
          <w:rFonts w:ascii="Times New Roman" w:eastAsia="標楷體"/>
        </w:rPr>
        <w:t>條</w:t>
      </w:r>
      <w:r>
        <w:rPr>
          <w:rFonts w:ascii="Times New Roman" w:eastAsia="標楷體" w:hint="eastAsia"/>
        </w:rPr>
        <w:t xml:space="preserve"> </w:t>
      </w:r>
      <w:r w:rsidR="0069244B" w:rsidRPr="002C4A8E">
        <w:rPr>
          <w:rFonts w:ascii="Times New Roman" w:eastAsia="標楷體" w:hint="eastAsia"/>
          <w:szCs w:val="26"/>
        </w:rPr>
        <w:t>本</w:t>
      </w:r>
      <w:r w:rsidR="00582C35" w:rsidRPr="0013663E">
        <w:rPr>
          <w:rFonts w:ascii="標楷體" w:eastAsia="標楷體" w:hAnsi="標楷體" w:hint="eastAsia"/>
          <w:sz w:val="26"/>
          <w:szCs w:val="26"/>
        </w:rPr>
        <w:t>政策</w:t>
      </w:r>
      <w:r w:rsidR="0069244B" w:rsidRPr="002C4A8E">
        <w:rPr>
          <w:rFonts w:ascii="Times New Roman" w:eastAsia="標楷體" w:hint="eastAsia"/>
          <w:szCs w:val="26"/>
        </w:rPr>
        <w:t>制定於</w:t>
      </w:r>
      <w:r w:rsidR="00582C35">
        <w:rPr>
          <w:rFonts w:ascii="Times New Roman" w:eastAsia="標楷體" w:hint="eastAsia"/>
          <w:szCs w:val="26"/>
        </w:rPr>
        <w:t>1</w:t>
      </w:r>
      <w:r w:rsidR="00582C35">
        <w:rPr>
          <w:rFonts w:ascii="Times New Roman" w:eastAsia="標楷體"/>
          <w:szCs w:val="26"/>
        </w:rPr>
        <w:t>09</w:t>
      </w:r>
      <w:r w:rsidR="0069244B" w:rsidRPr="002C4A8E">
        <w:rPr>
          <w:rFonts w:ascii="Times New Roman" w:eastAsia="標楷體" w:hint="eastAsia"/>
          <w:szCs w:val="26"/>
        </w:rPr>
        <w:t>年</w:t>
      </w:r>
      <w:r w:rsidR="00582C35">
        <w:rPr>
          <w:rFonts w:ascii="Times New Roman" w:eastAsia="標楷體" w:hint="eastAsia"/>
          <w:szCs w:val="26"/>
        </w:rPr>
        <w:t>1</w:t>
      </w:r>
      <w:r w:rsidR="00582C35">
        <w:rPr>
          <w:rFonts w:ascii="Times New Roman" w:eastAsia="標楷體"/>
          <w:szCs w:val="26"/>
        </w:rPr>
        <w:t>1</w:t>
      </w:r>
      <w:r w:rsidR="0069244B" w:rsidRPr="002C4A8E">
        <w:rPr>
          <w:rFonts w:ascii="Times New Roman" w:eastAsia="標楷體" w:hint="eastAsia"/>
          <w:szCs w:val="26"/>
        </w:rPr>
        <w:t>月</w:t>
      </w:r>
      <w:r w:rsidR="00582C35">
        <w:rPr>
          <w:rFonts w:ascii="Times New Roman" w:eastAsia="標楷體" w:hint="eastAsia"/>
          <w:szCs w:val="26"/>
        </w:rPr>
        <w:t>6</w:t>
      </w:r>
      <w:r w:rsidR="0069244B" w:rsidRPr="002C4A8E">
        <w:rPr>
          <w:rFonts w:ascii="Times New Roman" w:eastAsia="標楷體" w:hint="eastAsia"/>
          <w:szCs w:val="26"/>
        </w:rPr>
        <w:t>日。</w:t>
      </w:r>
    </w:p>
    <w:sectPr w:rsidR="0069244B" w:rsidRPr="002C4A8E">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56" w:rsidRDefault="002C6956" w:rsidP="001F2807">
      <w:r>
        <w:separator/>
      </w:r>
    </w:p>
  </w:endnote>
  <w:endnote w:type="continuationSeparator" w:id="0">
    <w:p w:rsidR="002C6956" w:rsidRDefault="002C6956" w:rsidP="001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0491"/>
      <w:docPartObj>
        <w:docPartGallery w:val="Page Numbers (Bottom of Page)"/>
        <w:docPartUnique/>
      </w:docPartObj>
    </w:sdtPr>
    <w:sdtEndPr/>
    <w:sdtContent>
      <w:p w:rsidR="0024506B" w:rsidRDefault="005B4A82">
        <w:pPr>
          <w:pStyle w:val="a5"/>
          <w:jc w:val="center"/>
        </w:pPr>
        <w:r>
          <w:fldChar w:fldCharType="begin"/>
        </w:r>
        <w:r>
          <w:instrText xml:space="preserve"> PAGE   \* MERGEFORMAT </w:instrText>
        </w:r>
        <w:r>
          <w:fldChar w:fldCharType="separate"/>
        </w:r>
        <w:r w:rsidR="00FD59A6" w:rsidRPr="00FD59A6">
          <w:rPr>
            <w:noProof/>
            <w:lang w:val="zh-TW"/>
          </w:rPr>
          <w:t>4</w:t>
        </w:r>
        <w:r>
          <w:rPr>
            <w:noProof/>
            <w:lang w:val="zh-TW"/>
          </w:rPr>
          <w:fldChar w:fldCharType="end"/>
        </w:r>
      </w:p>
    </w:sdtContent>
  </w:sdt>
  <w:p w:rsidR="0024506B" w:rsidRDefault="002450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56" w:rsidRDefault="002C6956" w:rsidP="001F2807">
      <w:r>
        <w:separator/>
      </w:r>
    </w:p>
  </w:footnote>
  <w:footnote w:type="continuationSeparator" w:id="0">
    <w:p w:rsidR="002C6956" w:rsidRDefault="002C6956" w:rsidP="001F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663E"/>
    <w:rsid w:val="001F2807"/>
    <w:rsid w:val="0024506B"/>
    <w:rsid w:val="002C4A8E"/>
    <w:rsid w:val="002C6956"/>
    <w:rsid w:val="003D523E"/>
    <w:rsid w:val="00484E6B"/>
    <w:rsid w:val="00582C35"/>
    <w:rsid w:val="005B4A82"/>
    <w:rsid w:val="0069244B"/>
    <w:rsid w:val="00817F89"/>
    <w:rsid w:val="008278FD"/>
    <w:rsid w:val="0086606E"/>
    <w:rsid w:val="009019F2"/>
    <w:rsid w:val="00A74235"/>
    <w:rsid w:val="00A77B3E"/>
    <w:rsid w:val="00AC2DD8"/>
    <w:rsid w:val="00AF4AFD"/>
    <w:rsid w:val="00C2075B"/>
    <w:rsid w:val="00C2784E"/>
    <w:rsid w:val="00CA32F3"/>
    <w:rsid w:val="00FD59A6"/>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47643B8-891D-4C83-9B9E-3ABACAB9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807"/>
    <w:pPr>
      <w:tabs>
        <w:tab w:val="center" w:pos="4153"/>
        <w:tab w:val="right" w:pos="8306"/>
      </w:tabs>
      <w:snapToGrid w:val="0"/>
    </w:pPr>
    <w:rPr>
      <w:sz w:val="20"/>
      <w:szCs w:val="20"/>
    </w:rPr>
  </w:style>
  <w:style w:type="character" w:customStyle="1" w:styleId="a4">
    <w:name w:val="頁首 字元"/>
    <w:basedOn w:val="a0"/>
    <w:link w:val="a3"/>
    <w:rsid w:val="001F2807"/>
  </w:style>
  <w:style w:type="paragraph" w:styleId="a5">
    <w:name w:val="footer"/>
    <w:basedOn w:val="a"/>
    <w:link w:val="a6"/>
    <w:uiPriority w:val="99"/>
    <w:rsid w:val="001F2807"/>
    <w:pPr>
      <w:tabs>
        <w:tab w:val="center" w:pos="4153"/>
        <w:tab w:val="right" w:pos="8306"/>
      </w:tabs>
      <w:snapToGrid w:val="0"/>
    </w:pPr>
    <w:rPr>
      <w:sz w:val="20"/>
      <w:szCs w:val="20"/>
    </w:rPr>
  </w:style>
  <w:style w:type="character" w:customStyle="1" w:styleId="a6">
    <w:name w:val="頁尾 字元"/>
    <w:basedOn w:val="a0"/>
    <w:link w:val="a5"/>
    <w:uiPriority w:val="99"/>
    <w:rsid w:val="001F2807"/>
  </w:style>
  <w:style w:type="paragraph" w:styleId="a7">
    <w:name w:val="Body Text Indent"/>
    <w:basedOn w:val="a"/>
    <w:link w:val="a8"/>
    <w:rsid w:val="0069244B"/>
    <w:pPr>
      <w:widowControl w:val="0"/>
      <w:spacing w:line="240" w:lineRule="atLeast"/>
      <w:ind w:left="975" w:hanging="975"/>
      <w:jc w:val="both"/>
    </w:pPr>
    <w:rPr>
      <w:rFonts w:ascii="華康楷書體W5" w:eastAsia="華康楷書體W5"/>
      <w:kern w:val="2"/>
      <w:szCs w:val="20"/>
    </w:rPr>
  </w:style>
  <w:style w:type="character" w:customStyle="1" w:styleId="a8">
    <w:name w:val="本文縮排 字元"/>
    <w:basedOn w:val="a0"/>
    <w:link w:val="a7"/>
    <w:rsid w:val="0069244B"/>
    <w:rPr>
      <w:rFonts w:ascii="華康楷書體W5" w:eastAsia="華康楷書體W5"/>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2011</Words>
  <Characters>85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9</cp:revision>
  <cp:lastPrinted>1899-12-31T16:00:00Z</cp:lastPrinted>
  <dcterms:created xsi:type="dcterms:W3CDTF">2020-10-08T03:41:00Z</dcterms:created>
  <dcterms:modified xsi:type="dcterms:W3CDTF">2020-11-08T08:53:00Z</dcterms:modified>
</cp:coreProperties>
</file>