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77" w:rsidRPr="00D924A5" w:rsidRDefault="00D508A6" w:rsidP="00011C77">
      <w:pPr>
        <w:spacing w:line="360" w:lineRule="auto"/>
        <w:jc w:val="right"/>
        <w:rPr>
          <w:rFonts w:eastAsia="新細明體"/>
          <w:spacing w:val="20"/>
          <w:szCs w:val="24"/>
          <w:lang w:eastAsia="zh-TW"/>
        </w:rPr>
      </w:pPr>
      <w:r>
        <w:rPr>
          <w:rFonts w:eastAsia="新細明體"/>
          <w:spacing w:val="20"/>
          <w:sz w:val="21"/>
          <w:szCs w:val="21"/>
          <w:lang w:eastAsia="zh-TW"/>
        </w:rPr>
        <w:t xml:space="preserve"> </w:t>
      </w:r>
      <w:r w:rsidR="00011C77">
        <w:rPr>
          <w:rFonts w:eastAsia="新細明體" w:hint="eastAsia"/>
          <w:spacing w:val="20"/>
          <w:sz w:val="21"/>
          <w:szCs w:val="21"/>
          <w:lang w:eastAsia="zh-TW"/>
        </w:rPr>
        <w:t xml:space="preserve">   </w:t>
      </w:r>
    </w:p>
    <w:p w:rsidR="00011C77" w:rsidRPr="00193EEF" w:rsidRDefault="00011C77" w:rsidP="00011C77">
      <w:pPr>
        <w:snapToGrid w:val="0"/>
        <w:spacing w:line="240" w:lineRule="exact"/>
        <w:jc w:val="center"/>
        <w:rPr>
          <w:rFonts w:ascii="標楷體" w:eastAsia="標楷體" w:hAnsi="標楷體"/>
          <w:b/>
          <w:color w:val="000000"/>
          <w:szCs w:val="24"/>
          <w:lang w:eastAsia="zh-TW"/>
        </w:rPr>
      </w:pPr>
      <w:r w:rsidRPr="00193EEF">
        <w:rPr>
          <w:rFonts w:ascii="標楷體" w:eastAsia="標楷體" w:hAnsi="標楷體" w:hint="eastAsia"/>
          <w:b/>
          <w:color w:val="000000"/>
          <w:szCs w:val="24"/>
          <w:lang w:eastAsia="zh-TW"/>
        </w:rPr>
        <w:t>美琪瑪國際股份有限公司取得或處分資產處理程序</w:t>
      </w:r>
    </w:p>
    <w:p w:rsidR="00011C77" w:rsidRPr="00193EEF" w:rsidRDefault="00011C77" w:rsidP="00011C77">
      <w:pPr>
        <w:spacing w:line="240" w:lineRule="exact"/>
        <w:jc w:val="both"/>
        <w:rPr>
          <w:rFonts w:ascii="標楷體" w:eastAsia="標楷體" w:hAnsi="標楷體"/>
          <w:color w:val="000000"/>
          <w:sz w:val="20"/>
          <w:lang w:eastAsia="zh-TW"/>
        </w:rPr>
      </w:pPr>
    </w:p>
    <w:p w:rsidR="00011C77" w:rsidRPr="009D0844" w:rsidRDefault="00011C77" w:rsidP="00011C77">
      <w:pPr>
        <w:snapToGrid w:val="0"/>
        <w:spacing w:line="240" w:lineRule="exact"/>
        <w:jc w:val="center"/>
        <w:rPr>
          <w:rFonts w:ascii="標楷體" w:eastAsia="標楷體" w:hAnsi="標楷體"/>
          <w:b/>
          <w:color w:val="FF0000"/>
          <w:szCs w:val="24"/>
          <w:lang w:eastAsia="zh-TW"/>
        </w:rPr>
      </w:pPr>
      <w:r w:rsidRPr="00193EEF">
        <w:rPr>
          <w:rFonts w:ascii="標楷體" w:eastAsia="標楷體" w:hAnsi="標楷體" w:hint="eastAsia"/>
          <w:color w:val="000000"/>
          <w:sz w:val="20"/>
          <w:lang w:eastAsia="zh-TW"/>
        </w:rPr>
        <w:t>第一章  資產之取得或處分</w:t>
      </w:r>
    </w:p>
    <w:p w:rsidR="00011C77" w:rsidRPr="00112140" w:rsidRDefault="00011C77" w:rsidP="00011C77">
      <w:pPr>
        <w:spacing w:line="240" w:lineRule="exact"/>
        <w:jc w:val="center"/>
        <w:rPr>
          <w:rFonts w:ascii="標楷體" w:eastAsia="標楷體" w:hAnsi="標楷體"/>
          <w:color w:val="000000"/>
          <w:sz w:val="20"/>
          <w:lang w:eastAsia="zh-TW"/>
        </w:rPr>
      </w:pPr>
    </w:p>
    <w:p w:rsidR="00011C77" w:rsidRPr="00193EEF" w:rsidRDefault="00011C77" w:rsidP="00011C77">
      <w:pPr>
        <w:spacing w:line="240" w:lineRule="exact"/>
        <w:jc w:val="center"/>
        <w:rPr>
          <w:rFonts w:ascii="標楷體" w:eastAsia="標楷體" w:hAnsi="標楷體"/>
          <w:color w:val="000000"/>
          <w:sz w:val="20"/>
          <w:lang w:eastAsia="zh-TW"/>
        </w:rPr>
      </w:pPr>
    </w:p>
    <w:p w:rsidR="00011C77" w:rsidRPr="00193EEF" w:rsidRDefault="00011C77" w:rsidP="00011C77">
      <w:pPr>
        <w:spacing w:line="240" w:lineRule="exact"/>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第一條：目的與法源依據</w:t>
      </w:r>
    </w:p>
    <w:p w:rsidR="00011C77" w:rsidRPr="00193EEF" w:rsidRDefault="00011C77" w:rsidP="00011C77">
      <w:pPr>
        <w:pStyle w:val="a4"/>
        <w:spacing w:before="0" w:line="240" w:lineRule="exact"/>
        <w:ind w:leftChars="334" w:left="802" w:firstLine="0"/>
        <w:jc w:val="both"/>
        <w:rPr>
          <w:color w:val="000000"/>
          <w:sz w:val="20"/>
          <w:lang w:eastAsia="zh-TW"/>
        </w:rPr>
      </w:pPr>
      <w:r w:rsidRPr="00193EEF">
        <w:rPr>
          <w:rFonts w:hint="eastAsia"/>
          <w:color w:val="000000"/>
          <w:sz w:val="20"/>
          <w:lang w:eastAsia="zh-TW"/>
        </w:rPr>
        <w:t>為保障資產，落實資訊公開，特依據證券交易法第三十六條之一及行政院金融監督管理委員會證券期貨局</w:t>
      </w:r>
      <w:r w:rsidRPr="00193EEF">
        <w:rPr>
          <w:color w:val="000000"/>
          <w:sz w:val="20"/>
          <w:lang w:eastAsia="zh-TW"/>
        </w:rPr>
        <w:t>91</w:t>
      </w:r>
      <w:r w:rsidRPr="00193EEF">
        <w:rPr>
          <w:rFonts w:hint="eastAsia"/>
          <w:color w:val="000000"/>
          <w:sz w:val="20"/>
          <w:lang w:eastAsia="zh-TW"/>
        </w:rPr>
        <w:t>年</w:t>
      </w:r>
      <w:r w:rsidRPr="00193EEF">
        <w:rPr>
          <w:color w:val="000000"/>
          <w:sz w:val="20"/>
          <w:lang w:eastAsia="zh-TW"/>
        </w:rPr>
        <w:t>12</w:t>
      </w:r>
      <w:r w:rsidRPr="00193EEF">
        <w:rPr>
          <w:rFonts w:hint="eastAsia"/>
          <w:color w:val="000000"/>
          <w:sz w:val="20"/>
          <w:lang w:eastAsia="zh-TW"/>
        </w:rPr>
        <w:t>月</w:t>
      </w:r>
      <w:r w:rsidRPr="00193EEF">
        <w:rPr>
          <w:color w:val="000000"/>
          <w:sz w:val="20"/>
          <w:lang w:eastAsia="zh-TW"/>
        </w:rPr>
        <w:t>10</w:t>
      </w:r>
      <w:r w:rsidRPr="00193EEF">
        <w:rPr>
          <w:rFonts w:hint="eastAsia"/>
          <w:color w:val="000000"/>
          <w:sz w:val="20"/>
          <w:lang w:eastAsia="zh-TW"/>
        </w:rPr>
        <w:t>日(九一)台財證(一)第</w:t>
      </w:r>
      <w:r w:rsidRPr="00193EEF">
        <w:rPr>
          <w:color w:val="000000"/>
          <w:sz w:val="20"/>
          <w:lang w:eastAsia="zh-TW"/>
        </w:rPr>
        <w:t>O</w:t>
      </w:r>
      <w:r w:rsidRPr="00193EEF">
        <w:rPr>
          <w:rFonts w:hint="eastAsia"/>
          <w:color w:val="000000"/>
          <w:sz w:val="20"/>
          <w:lang w:eastAsia="zh-TW"/>
        </w:rPr>
        <w:t>九一</w:t>
      </w:r>
      <w:r w:rsidRPr="00193EEF">
        <w:rPr>
          <w:color w:val="000000"/>
          <w:sz w:val="20"/>
          <w:lang w:eastAsia="zh-TW"/>
        </w:rPr>
        <w:t>O O O</w:t>
      </w:r>
      <w:r w:rsidRPr="00193EEF">
        <w:rPr>
          <w:rFonts w:hint="eastAsia"/>
          <w:color w:val="000000"/>
          <w:sz w:val="20"/>
          <w:lang w:eastAsia="zh-TW"/>
        </w:rPr>
        <w:t>六一</w:t>
      </w:r>
      <w:r w:rsidRPr="00193EEF">
        <w:rPr>
          <w:color w:val="000000"/>
          <w:sz w:val="20"/>
          <w:lang w:eastAsia="zh-TW"/>
        </w:rPr>
        <w:t xml:space="preserve">O </w:t>
      </w:r>
      <w:r w:rsidRPr="00193EEF">
        <w:rPr>
          <w:rFonts w:hint="eastAsia"/>
          <w:color w:val="000000"/>
          <w:sz w:val="20"/>
          <w:lang w:eastAsia="zh-TW"/>
        </w:rPr>
        <w:t>號函規定，訂定本處理程序。</w:t>
      </w:r>
    </w:p>
    <w:p w:rsidR="00011C77" w:rsidRPr="00193EEF" w:rsidRDefault="00011C77" w:rsidP="00C87B3A">
      <w:pPr>
        <w:spacing w:beforeLines="50" w:before="180" w:line="240" w:lineRule="exact"/>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第二條：資產之適用範圍</w:t>
      </w:r>
    </w:p>
    <w:p w:rsidR="00011C77" w:rsidRPr="00193EEF" w:rsidRDefault="00011C77" w:rsidP="00011C77">
      <w:pPr>
        <w:spacing w:line="240" w:lineRule="exact"/>
        <w:ind w:leftChars="334" w:left="1202"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一、有價證券：包括股票、公債、公司債、金融債券、表彰基金之有價證券、存託憑證、認購</w:t>
      </w:r>
      <w:r w:rsidRPr="00193EEF">
        <w:rPr>
          <w:rFonts w:ascii="標楷體" w:eastAsia="標楷體" w:hAnsi="標楷體"/>
          <w:color w:val="000000"/>
          <w:sz w:val="20"/>
          <w:lang w:eastAsia="zh-TW"/>
        </w:rPr>
        <w:t>(</w:t>
      </w:r>
      <w:r w:rsidRPr="00193EEF">
        <w:rPr>
          <w:rFonts w:ascii="標楷體" w:eastAsia="標楷體" w:hAnsi="標楷體" w:hint="eastAsia"/>
          <w:color w:val="000000"/>
          <w:sz w:val="20"/>
          <w:lang w:eastAsia="zh-TW"/>
        </w:rPr>
        <w:t>售</w:t>
      </w:r>
      <w:r w:rsidRPr="00193EEF">
        <w:rPr>
          <w:rFonts w:ascii="標楷體" w:eastAsia="標楷體" w:hAnsi="標楷體"/>
          <w:color w:val="000000"/>
          <w:sz w:val="20"/>
          <w:lang w:eastAsia="zh-TW"/>
        </w:rPr>
        <w:t>)</w:t>
      </w:r>
      <w:r w:rsidRPr="00193EEF">
        <w:rPr>
          <w:rFonts w:ascii="標楷體" w:eastAsia="標楷體" w:hAnsi="標楷體" w:hint="eastAsia"/>
          <w:color w:val="000000"/>
          <w:sz w:val="20"/>
          <w:lang w:eastAsia="zh-TW"/>
        </w:rPr>
        <w:t>權證、受益證券及資產基礎證券等投資。</w:t>
      </w:r>
    </w:p>
    <w:p w:rsidR="00011C77" w:rsidRPr="00193EEF" w:rsidRDefault="00011C77" w:rsidP="00011C77">
      <w:pPr>
        <w:tabs>
          <w:tab w:val="left" w:pos="1435"/>
        </w:tabs>
        <w:spacing w:line="240" w:lineRule="exact"/>
        <w:ind w:firstLineChars="400" w:firstLine="8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二、不動產</w:t>
      </w:r>
      <w:r w:rsidRPr="00193EEF">
        <w:rPr>
          <w:rFonts w:ascii="標楷體" w:eastAsia="標楷體" w:hAnsi="標楷體"/>
          <w:color w:val="000000"/>
          <w:sz w:val="20"/>
          <w:lang w:eastAsia="zh-TW"/>
        </w:rPr>
        <w:t>(</w:t>
      </w:r>
      <w:r w:rsidRPr="00193EEF">
        <w:rPr>
          <w:rFonts w:ascii="標楷體" w:eastAsia="標楷體" w:hAnsi="標楷體" w:hint="eastAsia"/>
          <w:color w:val="000000"/>
          <w:sz w:val="20"/>
          <w:lang w:eastAsia="zh-TW"/>
        </w:rPr>
        <w:t>含土地、房屋及建築、投資性不動產、營建業之存貨</w:t>
      </w:r>
      <w:r w:rsidRPr="00193EEF">
        <w:rPr>
          <w:rFonts w:ascii="標楷體" w:eastAsia="標楷體" w:hAnsi="標楷體"/>
          <w:color w:val="000000"/>
          <w:sz w:val="20"/>
          <w:lang w:eastAsia="zh-TW"/>
        </w:rPr>
        <w:t>)</w:t>
      </w:r>
      <w:r w:rsidRPr="00193EEF">
        <w:rPr>
          <w:rFonts w:ascii="標楷體" w:eastAsia="標楷體" w:hAnsi="標楷體" w:hint="eastAsia"/>
          <w:color w:val="000000"/>
          <w:sz w:val="20"/>
          <w:lang w:eastAsia="zh-TW"/>
        </w:rPr>
        <w:t>及設備。</w:t>
      </w:r>
    </w:p>
    <w:p w:rsidR="00011C77" w:rsidRPr="00193EEF" w:rsidRDefault="00011C77" w:rsidP="00011C77">
      <w:pPr>
        <w:tabs>
          <w:tab w:val="left" w:pos="1435"/>
        </w:tabs>
        <w:spacing w:line="240" w:lineRule="exact"/>
        <w:ind w:firstLineChars="400" w:firstLine="8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三、會員證。</w:t>
      </w:r>
    </w:p>
    <w:p w:rsidR="00011C77" w:rsidRPr="00C47879" w:rsidRDefault="00011C77" w:rsidP="00011C77">
      <w:pPr>
        <w:spacing w:line="240" w:lineRule="exact"/>
        <w:ind w:firstLineChars="400" w:firstLine="800"/>
        <w:jc w:val="both"/>
        <w:rPr>
          <w:rFonts w:ascii="標楷體" w:eastAsia="標楷體" w:hAnsi="標楷體"/>
          <w:sz w:val="20"/>
          <w:u w:val="single"/>
          <w:lang w:eastAsia="zh-TW"/>
        </w:rPr>
      </w:pPr>
      <w:r w:rsidRPr="00193EEF">
        <w:rPr>
          <w:rFonts w:ascii="標楷體" w:eastAsia="標楷體" w:hAnsi="標楷體" w:hint="eastAsia"/>
          <w:color w:val="000000"/>
          <w:sz w:val="20"/>
          <w:lang w:eastAsia="zh-TW"/>
        </w:rPr>
        <w:t>四、無形資產：包括專利權、著作權、商標權、特許權等無形資產。</w:t>
      </w:r>
    </w:p>
    <w:p w:rsidR="003F75D0" w:rsidRPr="00F514E6" w:rsidRDefault="003F75D0" w:rsidP="00011C77">
      <w:pPr>
        <w:spacing w:line="240" w:lineRule="exact"/>
        <w:ind w:firstLineChars="400" w:firstLine="800"/>
        <w:jc w:val="both"/>
        <w:rPr>
          <w:rFonts w:ascii="標楷體" w:eastAsia="標楷體" w:hAnsi="標楷體"/>
          <w:sz w:val="20"/>
          <w:lang w:eastAsia="zh-TW"/>
        </w:rPr>
      </w:pPr>
      <w:r w:rsidRPr="00F514E6">
        <w:rPr>
          <w:rFonts w:ascii="標楷體" w:eastAsia="標楷體" w:hAnsi="標楷體" w:hint="eastAsia"/>
          <w:sz w:val="20"/>
          <w:lang w:eastAsia="zh-TW"/>
        </w:rPr>
        <w:t>五、使用權資產。</w:t>
      </w:r>
    </w:p>
    <w:p w:rsidR="00DD1AFA" w:rsidRPr="00F514E6" w:rsidRDefault="00DD1AFA" w:rsidP="00DD1AFA">
      <w:pPr>
        <w:suppressAutoHyphens w:val="0"/>
        <w:autoSpaceDE w:val="0"/>
        <w:autoSpaceDN w:val="0"/>
        <w:ind w:firstLineChars="450" w:firstLine="792"/>
        <w:rPr>
          <w:rFonts w:ascii="標楷體" w:eastAsia="標楷體" w:hAnsi="標楷體" w:cs="Noto Sans Mono CJK JP Regular"/>
          <w:kern w:val="0"/>
          <w:sz w:val="20"/>
          <w:lang w:val="zh-TW" w:eastAsia="zh-TW" w:bidi="zh-TW"/>
        </w:rPr>
      </w:pPr>
      <w:r w:rsidRPr="00F514E6">
        <w:rPr>
          <w:rFonts w:ascii="標楷體" w:eastAsia="標楷體" w:hAnsi="標楷體" w:cs="Noto Sans Mono CJK JP Regular"/>
          <w:spacing w:val="-12"/>
          <w:kern w:val="0"/>
          <w:sz w:val="20"/>
          <w:lang w:val="zh-TW" w:eastAsia="zh-TW" w:bidi="zh-TW"/>
        </w:rPr>
        <w:t>六</w:t>
      </w:r>
      <w:r w:rsidRPr="00F514E6">
        <w:rPr>
          <w:rFonts w:ascii="標楷體" w:eastAsia="標楷體" w:hAnsi="標楷體" w:cs="Noto Sans Mono CJK JP Regular"/>
          <w:spacing w:val="-6"/>
          <w:kern w:val="0"/>
          <w:sz w:val="20"/>
          <w:lang w:val="zh-TW" w:eastAsia="zh-TW" w:bidi="zh-TW"/>
        </w:rPr>
        <w:t>、金融機構之債權</w:t>
      </w:r>
      <w:r w:rsidRPr="00F514E6">
        <w:rPr>
          <w:rFonts w:ascii="標楷體" w:eastAsia="標楷體" w:hAnsi="標楷體" w:cs="Noto Sans Mono CJK JP Regular"/>
          <w:spacing w:val="-3"/>
          <w:kern w:val="0"/>
          <w:sz w:val="20"/>
          <w:lang w:val="zh-TW" w:eastAsia="zh-TW" w:bidi="zh-TW"/>
        </w:rPr>
        <w:t>（</w:t>
      </w:r>
      <w:r w:rsidRPr="00F514E6">
        <w:rPr>
          <w:rFonts w:ascii="標楷體" w:eastAsia="標楷體" w:hAnsi="標楷體" w:cs="Noto Sans Mono CJK JP Regular"/>
          <w:kern w:val="0"/>
          <w:sz w:val="20"/>
          <w:lang w:val="zh-TW" w:eastAsia="zh-TW" w:bidi="zh-TW"/>
        </w:rPr>
        <w:t>含</w:t>
      </w:r>
      <w:r w:rsidRPr="00F514E6">
        <w:rPr>
          <w:rFonts w:ascii="標楷體" w:eastAsia="標楷體" w:hAnsi="標楷體" w:cs="Noto Sans Mono CJK JP Regular"/>
          <w:spacing w:val="-6"/>
          <w:kern w:val="0"/>
          <w:sz w:val="20"/>
          <w:lang w:val="zh-TW" w:eastAsia="zh-TW" w:bidi="zh-TW"/>
        </w:rPr>
        <w:t>應收款項、買匯貼現</w:t>
      </w:r>
      <w:r w:rsidRPr="00F514E6">
        <w:rPr>
          <w:rFonts w:ascii="標楷體" w:eastAsia="標楷體" w:hAnsi="標楷體" w:cs="Noto Sans Mono CJK JP Regular"/>
          <w:spacing w:val="9"/>
          <w:kern w:val="0"/>
          <w:sz w:val="20"/>
          <w:lang w:val="zh-TW" w:eastAsia="zh-TW" w:bidi="zh-TW"/>
        </w:rPr>
        <w:t>及放款、催收款項</w:t>
      </w:r>
      <w:r w:rsidRPr="00F514E6">
        <w:rPr>
          <w:rFonts w:ascii="標楷體" w:eastAsia="標楷體" w:hAnsi="標楷體" w:cs="Noto Sans Mono CJK JP Regular"/>
          <w:kern w:val="0"/>
          <w:sz w:val="20"/>
          <w:lang w:val="zh-TW" w:eastAsia="zh-TW" w:bidi="zh-TW"/>
        </w:rPr>
        <w:t>）。</w:t>
      </w:r>
    </w:p>
    <w:p w:rsidR="00DD1AFA" w:rsidRPr="00F514E6" w:rsidRDefault="00DD1AFA" w:rsidP="00DD1AFA">
      <w:pPr>
        <w:suppressAutoHyphens w:val="0"/>
        <w:autoSpaceDE w:val="0"/>
        <w:autoSpaceDN w:val="0"/>
        <w:ind w:firstLineChars="950" w:firstLine="760"/>
        <w:rPr>
          <w:rFonts w:ascii="標楷體" w:eastAsia="標楷體" w:hAnsi="標楷體" w:cs="Noto Sans Mono CJK JP Regular"/>
          <w:kern w:val="0"/>
          <w:sz w:val="20"/>
          <w:lang w:val="zh-TW" w:eastAsia="zh-TW" w:bidi="zh-TW"/>
        </w:rPr>
      </w:pPr>
      <w:r w:rsidRPr="00F514E6">
        <w:rPr>
          <w:rFonts w:ascii="標楷體" w:eastAsia="標楷體" w:hAnsi="標楷體" w:cs="Noto Sans Mono CJK JP Regular"/>
          <w:spacing w:val="-60"/>
          <w:kern w:val="0"/>
          <w:sz w:val="20"/>
          <w:lang w:val="zh-TW" w:eastAsia="zh-TW" w:bidi="zh-TW"/>
        </w:rPr>
        <w:t xml:space="preserve"> </w:t>
      </w:r>
      <w:r w:rsidRPr="00F514E6">
        <w:rPr>
          <w:rFonts w:ascii="標楷體" w:eastAsia="標楷體" w:hAnsi="標楷體" w:cs="Noto Sans Mono CJK JP Regular"/>
          <w:kern w:val="0"/>
          <w:sz w:val="20"/>
          <w:lang w:val="zh-TW" w:eastAsia="zh-TW" w:bidi="zh-TW"/>
        </w:rPr>
        <w:t>七、衍生性商品。</w:t>
      </w:r>
    </w:p>
    <w:p w:rsidR="00DD1AFA" w:rsidRPr="00F514E6" w:rsidRDefault="00DD1AFA" w:rsidP="00DD1AFA">
      <w:pPr>
        <w:suppressAutoHyphens w:val="0"/>
        <w:autoSpaceDE w:val="0"/>
        <w:autoSpaceDN w:val="0"/>
        <w:ind w:firstLineChars="950" w:firstLine="760"/>
        <w:rPr>
          <w:rFonts w:ascii="標楷體" w:eastAsia="標楷體" w:hAnsi="標楷體" w:cs="Noto Sans Mono CJK JP Regular"/>
          <w:kern w:val="0"/>
          <w:szCs w:val="24"/>
          <w:lang w:val="zh-TW" w:eastAsia="zh-TW" w:bidi="zh-TW"/>
        </w:rPr>
      </w:pPr>
      <w:r w:rsidRPr="00F514E6">
        <w:rPr>
          <w:rFonts w:ascii="標楷體" w:eastAsia="標楷體" w:hAnsi="標楷體" w:cs="Noto Sans Mono CJK JP Regular"/>
          <w:spacing w:val="-60"/>
          <w:kern w:val="0"/>
          <w:sz w:val="20"/>
          <w:lang w:val="zh-TW" w:eastAsia="zh-TW" w:bidi="zh-TW"/>
        </w:rPr>
        <w:t xml:space="preserve"> </w:t>
      </w:r>
      <w:r w:rsidRPr="00F514E6">
        <w:rPr>
          <w:rFonts w:ascii="標楷體" w:eastAsia="標楷體" w:hAnsi="標楷體" w:cs="Noto Sans Mono CJK JP Regular"/>
          <w:kern w:val="0"/>
          <w:sz w:val="20"/>
          <w:lang w:val="zh-TW" w:eastAsia="zh-TW" w:bidi="zh-TW"/>
        </w:rPr>
        <w:t>八、依法律合併、分割、收購或股份受讓而取得或處分之資產</w:t>
      </w:r>
      <w:r w:rsidRPr="00F514E6">
        <w:rPr>
          <w:rFonts w:ascii="標楷體" w:eastAsia="標楷體" w:hAnsi="標楷體" w:cs="Noto Sans Mono CJK JP Regular"/>
          <w:kern w:val="0"/>
          <w:szCs w:val="24"/>
          <w:lang w:val="zh-TW" w:eastAsia="zh-TW" w:bidi="zh-TW"/>
        </w:rPr>
        <w:t>。</w:t>
      </w:r>
    </w:p>
    <w:p w:rsidR="00DD1AFA" w:rsidRPr="00DD1AFA" w:rsidRDefault="00DD1AFA" w:rsidP="00DD1AFA">
      <w:pPr>
        <w:suppressAutoHyphens w:val="0"/>
        <w:autoSpaceDE w:val="0"/>
        <w:autoSpaceDN w:val="0"/>
        <w:ind w:firstLineChars="400" w:firstLine="800"/>
        <w:rPr>
          <w:rFonts w:ascii="標楷體" w:eastAsia="標楷體" w:hAnsi="標楷體" w:cs="Noto Sans Mono CJK JP Regular"/>
          <w:kern w:val="0"/>
          <w:sz w:val="20"/>
          <w:lang w:val="zh-TW" w:eastAsia="zh-TW" w:bidi="zh-TW"/>
        </w:rPr>
      </w:pPr>
      <w:r w:rsidRPr="00F514E6">
        <w:rPr>
          <w:rFonts w:ascii="標楷體" w:eastAsia="標楷體" w:hAnsi="標楷體" w:cs="Noto Sans Mono CJK JP Regular" w:hint="eastAsia"/>
          <w:kern w:val="0"/>
          <w:sz w:val="20"/>
          <w:lang w:val="zh-TW" w:eastAsia="zh-TW" w:bidi="zh-TW"/>
        </w:rPr>
        <w:t>九、其他重要資</w:t>
      </w:r>
      <w:r w:rsidRPr="00DD1AFA">
        <w:rPr>
          <w:rFonts w:ascii="標楷體" w:eastAsia="標楷體" w:hAnsi="標楷體" w:cs="Noto Sans Mono CJK JP Regular" w:hint="eastAsia"/>
          <w:kern w:val="0"/>
          <w:sz w:val="20"/>
          <w:lang w:val="zh-TW" w:eastAsia="zh-TW" w:bidi="zh-TW"/>
        </w:rPr>
        <w:t>產。</w:t>
      </w:r>
    </w:p>
    <w:p w:rsidR="00011C77" w:rsidRPr="00193EEF" w:rsidRDefault="00011C77" w:rsidP="00C87B3A">
      <w:pPr>
        <w:tabs>
          <w:tab w:val="left" w:pos="1380"/>
        </w:tabs>
        <w:spacing w:beforeLines="50" w:before="180" w:line="240" w:lineRule="exact"/>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第三條：名詞定義</w:t>
      </w:r>
    </w:p>
    <w:p w:rsidR="00B70D99" w:rsidRPr="00C47879" w:rsidRDefault="00011C77" w:rsidP="00C47879">
      <w:pPr>
        <w:spacing w:line="240" w:lineRule="exact"/>
        <w:ind w:leftChars="334" w:left="1202" w:hangingChars="200" w:hanging="400"/>
        <w:jc w:val="both"/>
        <w:rPr>
          <w:rFonts w:ascii="標楷體" w:eastAsia="標楷體" w:hAnsi="標楷體"/>
          <w:color w:val="000000"/>
          <w:sz w:val="20"/>
          <w:lang w:eastAsia="zh-TW" w:bidi="zh-TW"/>
        </w:rPr>
      </w:pPr>
      <w:r w:rsidRPr="00193EEF">
        <w:rPr>
          <w:rFonts w:ascii="標楷體" w:eastAsia="標楷體" w:hAnsi="標楷體" w:hint="eastAsia"/>
          <w:color w:val="000000"/>
          <w:sz w:val="20"/>
          <w:lang w:eastAsia="zh-TW"/>
        </w:rPr>
        <w:t>一、衍生性商品：</w:t>
      </w:r>
      <w:r w:rsidR="00B70D99" w:rsidRPr="00C47879">
        <w:rPr>
          <w:rFonts w:ascii="標楷體" w:eastAsia="標楷體" w:hAnsi="標楷體"/>
          <w:color w:val="000000"/>
          <w:sz w:val="20"/>
          <w:lang w:eastAsia="zh-TW" w:bidi="zh-TW"/>
        </w:rPr>
        <w:t>指其價值由特定利率、金融</w:t>
      </w:r>
      <w:r w:rsidR="00B70D99" w:rsidRPr="00C47879">
        <w:rPr>
          <w:rFonts w:ascii="標楷體" w:eastAsia="標楷體" w:hAnsi="標楷體"/>
          <w:color w:val="000000"/>
          <w:sz w:val="20"/>
          <w:u w:val="single"/>
          <w:lang w:eastAsia="zh-TW" w:bidi="zh-TW"/>
        </w:rPr>
        <w:t>工</w:t>
      </w:r>
      <w:r w:rsidR="00B70D99" w:rsidRPr="00F514E6">
        <w:rPr>
          <w:rFonts w:ascii="標楷體" w:eastAsia="標楷體" w:hAnsi="標楷體"/>
          <w:sz w:val="20"/>
          <w:lang w:eastAsia="zh-TW" w:bidi="zh-TW"/>
        </w:rPr>
        <w:t>具價格、商品價格、匯率、價格或費率指數、信用評等或信用指數、或其他變數所衍生之遠期契約、選擇權契約、期貨契約、槓桿保證金契約、交換契約，上述契約之組合，或嵌入衍生性商品之組合式契約或結構型商品等。所稱之遠期契約，不含保險契約、履約契約、售後服務契約</w:t>
      </w:r>
      <w:r w:rsidR="00B70D99" w:rsidRPr="00C47879">
        <w:rPr>
          <w:rFonts w:ascii="標楷體" w:eastAsia="標楷體" w:hAnsi="標楷體"/>
          <w:color w:val="000000"/>
          <w:sz w:val="20"/>
          <w:lang w:eastAsia="zh-TW" w:bidi="zh-TW"/>
        </w:rPr>
        <w:t>、長期租賃契約及長期進（銷）貨</w:t>
      </w:r>
      <w:r w:rsidR="00B70D99" w:rsidRPr="00C47879">
        <w:rPr>
          <w:rFonts w:ascii="標楷體" w:eastAsia="標楷體" w:hAnsi="標楷體"/>
          <w:color w:val="000000"/>
          <w:sz w:val="20"/>
          <w:u w:val="single"/>
          <w:lang w:eastAsia="zh-TW" w:bidi="zh-TW"/>
        </w:rPr>
        <w:t>契</w:t>
      </w:r>
      <w:r w:rsidR="00B70D99" w:rsidRPr="00C47879">
        <w:rPr>
          <w:rFonts w:ascii="標楷體" w:eastAsia="標楷體" w:hAnsi="標楷體"/>
          <w:color w:val="000000"/>
          <w:sz w:val="20"/>
          <w:lang w:eastAsia="zh-TW" w:bidi="zh-TW"/>
        </w:rPr>
        <w:t>約。</w:t>
      </w:r>
    </w:p>
    <w:p w:rsidR="00011C77" w:rsidRPr="00193EEF" w:rsidRDefault="00011C77" w:rsidP="00011C77">
      <w:pPr>
        <w:spacing w:line="240" w:lineRule="exact"/>
        <w:ind w:leftChars="334" w:left="1202"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二、依法律合併、分割、收購或股份受讓而取得或處分之資產：指依企業併購法、金融控股公司法、金融機構合併法或其他法律進行合併、分割或收購而取得或處分之資產，或依公司法第一百五十六條</w:t>
      </w:r>
      <w:r w:rsidR="00B54256" w:rsidRPr="00E5283F">
        <w:rPr>
          <w:rFonts w:ascii="標楷體" w:eastAsia="標楷體" w:hAnsi="標楷體"/>
          <w:color w:val="000000"/>
          <w:sz w:val="20"/>
          <w:lang w:eastAsia="zh-TW"/>
        </w:rPr>
        <w:t>之三</w:t>
      </w:r>
      <w:r w:rsidR="00B54256" w:rsidRPr="00E5283F">
        <w:rPr>
          <w:rFonts w:ascii="標楷體" w:eastAsia="標楷體" w:hAnsi="標楷體" w:hint="eastAsia"/>
          <w:color w:val="000000"/>
          <w:sz w:val="20"/>
          <w:lang w:eastAsia="zh-TW"/>
        </w:rPr>
        <w:t>規</w:t>
      </w:r>
      <w:r w:rsidRPr="00193EEF">
        <w:rPr>
          <w:rFonts w:ascii="標楷體" w:eastAsia="標楷體" w:hAnsi="標楷體" w:hint="eastAsia"/>
          <w:color w:val="000000"/>
          <w:sz w:val="20"/>
          <w:lang w:eastAsia="zh-TW"/>
        </w:rPr>
        <w:t>定發行新股受讓他公司股份（以下簡稱股份受讓）者。</w:t>
      </w:r>
    </w:p>
    <w:p w:rsidR="00011C77" w:rsidRPr="00193EEF" w:rsidRDefault="00011C77" w:rsidP="00011C77">
      <w:pPr>
        <w:spacing w:line="240" w:lineRule="exact"/>
        <w:ind w:leftChars="334" w:left="1202"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三、關係人、子公司：應依證券發行人財務報告編製準則規定認定之。</w:t>
      </w:r>
    </w:p>
    <w:p w:rsidR="00011C77" w:rsidRPr="00193EEF" w:rsidRDefault="00011C77" w:rsidP="00011C77">
      <w:pPr>
        <w:spacing w:line="240" w:lineRule="exact"/>
        <w:ind w:leftChars="334" w:left="1202"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四、專業估價者：指不動產估價師或其他依法律得從事不動產、設備估價業務者。</w:t>
      </w:r>
    </w:p>
    <w:p w:rsidR="00011C77" w:rsidRPr="00193EEF" w:rsidRDefault="00011C77" w:rsidP="00011C77">
      <w:pPr>
        <w:spacing w:line="240" w:lineRule="exact"/>
        <w:ind w:leftChars="334" w:left="1202"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五、事實發生日：指交易簽約日、付款日、委託成交日、過戶日、董事會決議日或其他足資確定交易對象及交易金額之日等日期孰前者。但屬需經主管機關核准之投資者，以上開日期或接獲主管機關核准之日孰前者為準。</w:t>
      </w:r>
    </w:p>
    <w:p w:rsidR="00011C77" w:rsidRDefault="00011C77" w:rsidP="00011C77">
      <w:pPr>
        <w:spacing w:line="240" w:lineRule="exact"/>
        <w:ind w:leftChars="332" w:left="1197"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六、大陸地區投資：指依經濟部投資審議委員會在大陸地區從事投資或技術合作許可辦法規定從事之大陸投資。</w:t>
      </w:r>
    </w:p>
    <w:p w:rsidR="007258EF" w:rsidRPr="00B54256" w:rsidRDefault="007258EF" w:rsidP="007258EF">
      <w:pPr>
        <w:spacing w:line="240" w:lineRule="exact"/>
        <w:ind w:leftChars="332" w:left="1197" w:hangingChars="200" w:hanging="400"/>
        <w:jc w:val="both"/>
        <w:rPr>
          <w:rFonts w:ascii="標楷體" w:eastAsia="標楷體" w:hAnsi="標楷體"/>
          <w:sz w:val="20"/>
          <w:lang w:eastAsia="zh-TW"/>
        </w:rPr>
      </w:pPr>
      <w:r w:rsidRPr="00B54256">
        <w:rPr>
          <w:rFonts w:ascii="標楷體" w:eastAsia="標楷體" w:hAnsi="標楷體" w:hint="eastAsia"/>
          <w:sz w:val="20"/>
          <w:lang w:eastAsia="zh-TW"/>
        </w:rPr>
        <w:t>七、所稱「一年內」係以本次取得或處分資產之日為基準，往前追溯推算一年，已公告部份免再計入。</w:t>
      </w:r>
    </w:p>
    <w:p w:rsidR="007258EF" w:rsidRPr="00B54256" w:rsidRDefault="007258EF" w:rsidP="007258EF">
      <w:pPr>
        <w:spacing w:line="240" w:lineRule="exact"/>
        <w:ind w:leftChars="332" w:left="1197" w:hangingChars="200" w:hanging="400"/>
        <w:jc w:val="both"/>
        <w:rPr>
          <w:rFonts w:ascii="標楷體" w:eastAsia="標楷體" w:hAnsi="標楷體"/>
          <w:sz w:val="20"/>
          <w:lang w:eastAsia="zh-TW"/>
        </w:rPr>
      </w:pPr>
      <w:r w:rsidRPr="00B54256">
        <w:rPr>
          <w:rFonts w:ascii="標楷體" w:eastAsia="標楷體" w:hAnsi="標楷體" w:hint="eastAsia"/>
          <w:sz w:val="20"/>
          <w:lang w:eastAsia="zh-TW"/>
        </w:rPr>
        <w:t>八、所稱「最近期財務報表」係指公司於取得或處分資產前依法公開經會計師查核簽證或核閱之財務報表。</w:t>
      </w:r>
    </w:p>
    <w:p w:rsidR="00331DA6" w:rsidRDefault="00011C77" w:rsidP="00C87B3A">
      <w:pPr>
        <w:spacing w:beforeLines="50" w:before="180" w:line="240" w:lineRule="exact"/>
        <w:ind w:left="958" w:hanging="958"/>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第四條：評估程序</w:t>
      </w:r>
    </w:p>
    <w:p w:rsidR="00011C77" w:rsidRPr="00193EEF" w:rsidRDefault="00011C77" w:rsidP="00C87B3A">
      <w:pPr>
        <w:spacing w:beforeLines="50" w:before="180" w:line="240" w:lineRule="exact"/>
        <w:ind w:leftChars="50" w:left="120" w:firstLineChars="350" w:firstLine="7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價格參考依據</w:t>
      </w:r>
    </w:p>
    <w:p w:rsidR="00011C77" w:rsidRPr="00193EEF" w:rsidRDefault="00011C77" w:rsidP="00011C77">
      <w:pPr>
        <w:pStyle w:val="3"/>
        <w:spacing w:line="240" w:lineRule="exact"/>
        <w:ind w:leftChars="342" w:left="1281" w:hangingChars="230" w:hanging="46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一、本公司取得或處分有價證券，應於事實發生日前取具標的公司最近期經會計師查核簽證或核閱之財務報表作為評估交易價格之參考，另交易金額達公司實收資本額百分之二十或新台幣三億元以上者，應於事實發生日前洽請會計師就交易價格之合理性表示意見，會計師若需採用專家報告者，應依規定辦理。但該有價證券具有活絡市場之公開報價或金融監督管理委員會另有規定者，不在此限。</w:t>
      </w:r>
    </w:p>
    <w:p w:rsidR="003B15FA" w:rsidRPr="003B15FA" w:rsidRDefault="003B15FA" w:rsidP="003B15FA">
      <w:pPr>
        <w:spacing w:line="240" w:lineRule="exact"/>
        <w:ind w:leftChars="334" w:left="1202" w:hangingChars="200" w:hanging="400"/>
        <w:jc w:val="both"/>
        <w:rPr>
          <w:rFonts w:ascii="標楷體" w:eastAsia="標楷體" w:hAnsi="標楷體"/>
          <w:color w:val="000000"/>
          <w:sz w:val="20"/>
          <w:lang w:eastAsia="zh-TW" w:bidi="zh-TW"/>
        </w:rPr>
      </w:pPr>
      <w:r w:rsidRPr="003B15FA">
        <w:rPr>
          <w:rFonts w:ascii="標楷體" w:eastAsia="標楷體" w:hAnsi="標楷體"/>
          <w:color w:val="000000"/>
          <w:sz w:val="20"/>
          <w:lang w:eastAsia="zh-TW" w:bidi="zh-TW"/>
        </w:rPr>
        <w:t>二、本公司取得或處分不動產</w:t>
      </w:r>
      <w:r w:rsidRPr="00F514E6">
        <w:rPr>
          <w:rFonts w:ascii="標楷體" w:eastAsia="標楷體" w:hAnsi="標楷體"/>
          <w:sz w:val="20"/>
          <w:lang w:eastAsia="zh-TW" w:bidi="zh-TW"/>
        </w:rPr>
        <w:t>、設備或其使用權資產，除與國內政府機關交易、自地委建、租地委建，或取得、處分供營業使用之設備或其使用權資產外</w:t>
      </w:r>
      <w:r w:rsidRPr="003B15FA">
        <w:rPr>
          <w:rFonts w:ascii="標楷體" w:eastAsia="標楷體" w:hAnsi="標楷體"/>
          <w:color w:val="000000"/>
          <w:sz w:val="20"/>
          <w:lang w:eastAsia="zh-TW" w:bidi="zh-TW"/>
        </w:rPr>
        <w:t>，交易金額達公司實收資本額百分之二十或新臺幣三億元以上者，應於事實發生日前取得專業估價者出具之估價報告，</w:t>
      </w:r>
      <w:r w:rsidRPr="003B15FA">
        <w:rPr>
          <w:rFonts w:ascii="標楷體" w:eastAsia="標楷體" w:hAnsi="標楷體"/>
          <w:color w:val="000000"/>
          <w:sz w:val="20"/>
          <w:lang w:eastAsia="zh-TW" w:bidi="zh-TW"/>
        </w:rPr>
        <w:lastRenderedPageBreak/>
        <w:t>並符合下列規定：</w:t>
      </w:r>
    </w:p>
    <w:p w:rsidR="003B15FA" w:rsidRPr="003B15FA" w:rsidRDefault="00A81D46" w:rsidP="00011C77">
      <w:pPr>
        <w:spacing w:line="240" w:lineRule="exact"/>
        <w:ind w:leftChars="334" w:left="1202" w:hangingChars="200" w:hanging="400"/>
        <w:jc w:val="both"/>
        <w:rPr>
          <w:rFonts w:ascii="標楷體" w:eastAsia="標楷體" w:hAnsi="標楷體"/>
          <w:color w:val="000000"/>
          <w:sz w:val="20"/>
          <w:lang w:eastAsia="zh-TW"/>
        </w:rPr>
      </w:pPr>
      <w:r>
        <w:rPr>
          <w:rFonts w:ascii="標楷體" w:eastAsia="標楷體" w:hAnsi="標楷體" w:hint="eastAsia"/>
          <w:color w:val="000000"/>
          <w:sz w:val="20"/>
          <w:lang w:eastAsia="zh-TW" w:bidi="zh-TW"/>
        </w:rPr>
        <w:t xml:space="preserve"> </w:t>
      </w:r>
    </w:p>
    <w:p w:rsidR="00011C77" w:rsidRPr="00193EEF" w:rsidRDefault="00011C77" w:rsidP="00011C77">
      <w:pPr>
        <w:spacing w:line="240" w:lineRule="exact"/>
        <w:ind w:left="1800" w:hanging="442"/>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(一)因特殊原因須以限定價格、特定價格或特殊價格作為交易價格之參考依據時，該項交易應先提經董事會決議通過</w:t>
      </w:r>
      <w:r w:rsidR="00A81D46" w:rsidRPr="00A81D46">
        <w:rPr>
          <w:rFonts w:ascii="標楷體" w:eastAsia="標楷體" w:hAnsi="標楷體" w:hint="eastAsia"/>
          <w:color w:val="000000"/>
          <w:sz w:val="20"/>
          <w:lang w:eastAsia="zh-TW"/>
        </w:rPr>
        <w:t>；</w:t>
      </w:r>
      <w:r w:rsidR="00A81D46" w:rsidRPr="00F514E6">
        <w:rPr>
          <w:rFonts w:ascii="標楷體" w:eastAsia="標楷體" w:hAnsi="標楷體" w:hint="eastAsia"/>
          <w:sz w:val="20"/>
          <w:lang w:eastAsia="zh-TW"/>
        </w:rPr>
        <w:t>其嗣後有交易條件變更時</w:t>
      </w:r>
      <w:r w:rsidR="00A81D46" w:rsidRPr="00A81D46">
        <w:rPr>
          <w:rFonts w:ascii="標楷體" w:eastAsia="標楷體" w:hAnsi="標楷體" w:hint="eastAsia"/>
          <w:color w:val="000000"/>
          <w:sz w:val="20"/>
          <w:lang w:eastAsia="zh-TW"/>
        </w:rPr>
        <w:t>，亦同。</w:t>
      </w:r>
    </w:p>
    <w:p w:rsidR="00011C77" w:rsidRPr="00193EEF" w:rsidRDefault="00011C77" w:rsidP="00011C77">
      <w:pPr>
        <w:spacing w:line="240" w:lineRule="exact"/>
        <w:ind w:left="1848" w:hanging="49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(二)交易金額達新臺幣十億元以上者，應請二家以上之專業估價者估價。</w:t>
      </w:r>
    </w:p>
    <w:p w:rsidR="00011C77" w:rsidRPr="00193EEF" w:rsidRDefault="00011C77" w:rsidP="00011C77">
      <w:pPr>
        <w:spacing w:line="240" w:lineRule="exact"/>
        <w:ind w:left="1800" w:hanging="442"/>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(三)專業估價者之估價結果有下列情形之一，除取得資產之估價結果均高於交易金額，或處分資產之估價均低於交易金額外，應洽請會計師依規定辦理，並對差異原因及交易價格之允當性表示具體意見：</w:t>
      </w:r>
    </w:p>
    <w:p w:rsidR="00011C77" w:rsidRPr="00193EEF" w:rsidRDefault="00011C77" w:rsidP="00011C77">
      <w:pPr>
        <w:spacing w:line="240" w:lineRule="exact"/>
        <w:ind w:left="2124" w:hanging="25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1.估價結果與交易金額差距達交易金額之百分之二十以上者。</w:t>
      </w:r>
    </w:p>
    <w:p w:rsidR="00011C77" w:rsidRPr="00193EEF" w:rsidRDefault="00011C77" w:rsidP="00011C77">
      <w:pPr>
        <w:spacing w:line="240" w:lineRule="exact"/>
        <w:ind w:left="2124" w:hanging="25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2.二家以上專業估價者之估價結果差距達交易金額百分之十以上者。</w:t>
      </w:r>
    </w:p>
    <w:p w:rsidR="00011C77" w:rsidRPr="00193EEF" w:rsidRDefault="00011C77" w:rsidP="00011C77">
      <w:pPr>
        <w:spacing w:line="240" w:lineRule="exact"/>
        <w:ind w:left="1800" w:hanging="442"/>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(四)專業估價者出具報告日期與契約成立日期不得逾三個月。但如其適用同一期公告現值且未逾六個月者，得由原專業估價者出具意見書。</w:t>
      </w:r>
    </w:p>
    <w:p w:rsidR="00011C77" w:rsidRPr="00193EEF" w:rsidRDefault="00011C77" w:rsidP="00054D39">
      <w:pPr>
        <w:spacing w:line="240" w:lineRule="exact"/>
        <w:ind w:leftChars="384" w:left="1322"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三、本公司取得或處分會員證或無形資產之交易金額達公司實收資本額百分之二十或新臺幣三億元以上者，除與政府機</w:t>
      </w:r>
      <w:r w:rsidRPr="00054D39">
        <w:rPr>
          <w:rFonts w:ascii="標楷體" w:eastAsia="標楷體" w:hAnsi="標楷體" w:hint="eastAsia"/>
          <w:sz w:val="20"/>
          <w:u w:val="single"/>
          <w:lang w:eastAsia="zh-TW"/>
        </w:rPr>
        <w:t>關</w:t>
      </w:r>
      <w:r w:rsidRPr="00054D39">
        <w:rPr>
          <w:rFonts w:ascii="標楷體" w:eastAsia="標楷體" w:hAnsi="標楷體" w:hint="eastAsia"/>
          <w:sz w:val="20"/>
          <w:lang w:eastAsia="zh-TW"/>
        </w:rPr>
        <w:t>交</w:t>
      </w:r>
      <w:r w:rsidRPr="00193EEF">
        <w:rPr>
          <w:rFonts w:ascii="標楷體" w:eastAsia="標楷體" w:hAnsi="標楷體" w:hint="eastAsia"/>
          <w:color w:val="000000"/>
          <w:sz w:val="20"/>
          <w:lang w:eastAsia="zh-TW"/>
        </w:rPr>
        <w:t>易外，應於事實發生日前洽請會計師就交易價格之合理性表示意見，會計師並應依</w:t>
      </w:r>
      <w:r w:rsidRPr="002E6559">
        <w:rPr>
          <w:rFonts w:ascii="標楷體" w:eastAsia="標楷體" w:hAnsi="標楷體" w:hint="eastAsia"/>
          <w:color w:val="000000"/>
          <w:sz w:val="20"/>
          <w:lang w:eastAsia="zh-TW"/>
        </w:rPr>
        <w:t>規定辦理。</w:t>
      </w:r>
    </w:p>
    <w:p w:rsidR="00011C77" w:rsidRPr="00193EEF" w:rsidRDefault="00011C77" w:rsidP="00054D39">
      <w:pPr>
        <w:pStyle w:val="3"/>
        <w:spacing w:line="240" w:lineRule="exact"/>
        <w:ind w:left="0" w:firstLineChars="450" w:firstLine="9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四、本公司取得或處分衍生性金融商品，應依照本處理程序第三章之相關規定辦理。</w:t>
      </w:r>
    </w:p>
    <w:p w:rsidR="00011C77" w:rsidRPr="00193EEF" w:rsidRDefault="00011C77" w:rsidP="00011C77">
      <w:pPr>
        <w:pStyle w:val="3"/>
        <w:spacing w:line="240" w:lineRule="exact"/>
        <w:ind w:leftChars="252" w:left="605" w:firstLine="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 xml:space="preserve">  </w:t>
      </w:r>
      <w:r w:rsidR="00054D39">
        <w:rPr>
          <w:rFonts w:ascii="標楷體" w:eastAsia="標楷體" w:hAnsi="標楷體"/>
          <w:color w:val="000000"/>
          <w:sz w:val="20"/>
          <w:lang w:eastAsia="zh-TW"/>
        </w:rPr>
        <w:t xml:space="preserve"> </w:t>
      </w:r>
      <w:r w:rsidRPr="00193EEF">
        <w:rPr>
          <w:rFonts w:ascii="標楷體" w:eastAsia="標楷體" w:hAnsi="標楷體" w:hint="eastAsia"/>
          <w:color w:val="000000"/>
          <w:sz w:val="20"/>
          <w:lang w:eastAsia="zh-TW"/>
        </w:rPr>
        <w:t>五、取得或處分依法律合併、分割、收購或股份受讓而取得或處分之資產，應依照本處</w:t>
      </w:r>
    </w:p>
    <w:p w:rsidR="00011C77" w:rsidRPr="00193EEF" w:rsidRDefault="00011C77" w:rsidP="00011C77">
      <w:pPr>
        <w:pStyle w:val="3"/>
        <w:spacing w:line="240" w:lineRule="exact"/>
        <w:ind w:leftChars="252" w:left="605" w:firstLine="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 xml:space="preserve">      </w:t>
      </w:r>
      <w:r w:rsidR="00054D39">
        <w:rPr>
          <w:rFonts w:ascii="標楷體" w:eastAsia="標楷體" w:hAnsi="標楷體"/>
          <w:color w:val="000000"/>
          <w:sz w:val="20"/>
          <w:lang w:eastAsia="zh-TW"/>
        </w:rPr>
        <w:t xml:space="preserve"> </w:t>
      </w:r>
      <w:r w:rsidRPr="00193EEF">
        <w:rPr>
          <w:rFonts w:ascii="標楷體" w:eastAsia="標楷體" w:hAnsi="標楷體" w:hint="eastAsia"/>
          <w:color w:val="000000"/>
          <w:sz w:val="20"/>
          <w:lang w:eastAsia="zh-TW"/>
        </w:rPr>
        <w:t>理程序第四章之相關規定辦理。</w:t>
      </w:r>
    </w:p>
    <w:p w:rsidR="00011C77" w:rsidRPr="00193EEF" w:rsidRDefault="00011C77" w:rsidP="00054D39">
      <w:pPr>
        <w:pStyle w:val="3"/>
        <w:spacing w:line="240" w:lineRule="exact"/>
        <w:ind w:leftChars="208" w:left="1299" w:hangingChars="400" w:hanging="8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 xml:space="preserve">　　</w:t>
      </w:r>
      <w:r w:rsidR="00054D39">
        <w:rPr>
          <w:rFonts w:ascii="標楷體" w:eastAsia="標楷體" w:hAnsi="標楷體" w:hint="eastAsia"/>
          <w:color w:val="000000"/>
          <w:sz w:val="20"/>
          <w:lang w:eastAsia="zh-TW"/>
        </w:rPr>
        <w:t xml:space="preserve">   </w:t>
      </w:r>
      <w:r w:rsidR="00054D39">
        <w:rPr>
          <w:rFonts w:ascii="標楷體" w:eastAsia="標楷體" w:hAnsi="標楷體"/>
          <w:color w:val="000000"/>
          <w:sz w:val="20"/>
          <w:lang w:eastAsia="zh-TW"/>
        </w:rPr>
        <w:t xml:space="preserve"> </w:t>
      </w:r>
      <w:r w:rsidRPr="00193EEF">
        <w:rPr>
          <w:rFonts w:ascii="標楷體" w:eastAsia="標楷體" w:hAnsi="標楷體" w:hint="eastAsia"/>
          <w:color w:val="000000"/>
          <w:sz w:val="20"/>
          <w:lang w:eastAsia="zh-TW"/>
        </w:rPr>
        <w:t>前三條交易金額之計算，應依第八條第一項第(五)點規定辦理，且所稱一年內係以本次交易事實發生之日為基準，往前追溯推算一年，已依本準則規定取得專業估價者出具之估價報告或會計師意見部分免再計入。</w:t>
      </w:r>
    </w:p>
    <w:p w:rsidR="00054D39" w:rsidRPr="00C95BA4" w:rsidRDefault="00054D39" w:rsidP="00FF7E5A">
      <w:pPr>
        <w:spacing w:line="240" w:lineRule="exact"/>
        <w:ind w:leftChars="576" w:left="1382"/>
        <w:jc w:val="both"/>
        <w:rPr>
          <w:rFonts w:ascii="標楷體" w:eastAsia="標楷體"/>
          <w:sz w:val="20"/>
          <w:lang w:eastAsia="zh-TW"/>
        </w:rPr>
      </w:pPr>
      <w:r w:rsidRPr="00750CBC">
        <w:rPr>
          <w:rFonts w:ascii="標楷體" w:eastAsia="標楷體" w:hint="eastAsia"/>
          <w:sz w:val="20"/>
          <w:lang w:eastAsia="zh-TW"/>
        </w:rPr>
        <w:t>本公司取得之估價報告或會計師、律師或證券承銷商之意見書，該專業估價者及其估價人員、會計師、律師或證券承銷商</w:t>
      </w:r>
      <w:r w:rsidRPr="00C95BA4">
        <w:rPr>
          <w:rFonts w:ascii="標楷體" w:eastAsia="標楷體" w:hint="eastAsia"/>
          <w:sz w:val="20"/>
          <w:lang w:eastAsia="zh-TW"/>
        </w:rPr>
        <w:t>應符合下列規定：</w:t>
      </w:r>
    </w:p>
    <w:p w:rsidR="00054D39" w:rsidRPr="00C95BA4" w:rsidRDefault="00054D39" w:rsidP="00750CBC">
      <w:pPr>
        <w:spacing w:line="240" w:lineRule="exact"/>
        <w:ind w:leftChars="576" w:left="1782" w:hangingChars="200" w:hanging="400"/>
        <w:jc w:val="both"/>
        <w:rPr>
          <w:rFonts w:ascii="標楷體" w:eastAsia="標楷體"/>
          <w:sz w:val="20"/>
          <w:lang w:eastAsia="zh-TW"/>
        </w:rPr>
      </w:pPr>
      <w:r w:rsidRPr="00C95BA4">
        <w:rPr>
          <w:rFonts w:ascii="標楷體" w:eastAsia="標楷體" w:hint="eastAsia"/>
          <w:sz w:val="20"/>
          <w:lang w:eastAsia="zh-TW"/>
        </w:rPr>
        <w:t>一、未曾因違反本法、公司法、銀行法、保險法、金融控股公司法、商業會計法，或有 詐欺、背信、侵占、偽造文書或因業務上犯罪行為，受一年以上有期徒刑之宣告確定。但執行完畢、緩刑期滿或赦免後已滿三年者，不在此限。</w:t>
      </w:r>
    </w:p>
    <w:p w:rsidR="00054D39" w:rsidRPr="00C95BA4" w:rsidRDefault="00054D39" w:rsidP="00FF7E5A">
      <w:pPr>
        <w:spacing w:line="240" w:lineRule="exact"/>
        <w:ind w:leftChars="376" w:left="902" w:firstLineChars="250" w:firstLine="500"/>
        <w:jc w:val="both"/>
        <w:rPr>
          <w:rFonts w:ascii="標楷體" w:eastAsia="標楷體"/>
          <w:sz w:val="20"/>
          <w:lang w:eastAsia="zh-TW"/>
        </w:rPr>
      </w:pPr>
      <w:r w:rsidRPr="00C95BA4">
        <w:rPr>
          <w:rFonts w:ascii="標楷體" w:eastAsia="標楷體" w:hint="eastAsia"/>
          <w:sz w:val="20"/>
          <w:lang w:eastAsia="zh-TW"/>
        </w:rPr>
        <w:t>二、與交易當事人不得為關係人或有實質關係人之情形。</w:t>
      </w:r>
    </w:p>
    <w:p w:rsidR="00054D39" w:rsidRPr="00C95BA4" w:rsidRDefault="00054D39" w:rsidP="00750CBC">
      <w:pPr>
        <w:spacing w:line="240" w:lineRule="exact"/>
        <w:ind w:leftChars="576" w:left="1682" w:hangingChars="150" w:hanging="300"/>
        <w:jc w:val="both"/>
        <w:rPr>
          <w:rFonts w:ascii="標楷體" w:eastAsia="標楷體"/>
          <w:sz w:val="20"/>
          <w:lang w:eastAsia="zh-TW"/>
        </w:rPr>
      </w:pPr>
      <w:r w:rsidRPr="00C95BA4">
        <w:rPr>
          <w:rFonts w:ascii="標楷體" w:eastAsia="標楷體" w:hint="eastAsia"/>
          <w:sz w:val="20"/>
          <w:lang w:eastAsia="zh-TW"/>
        </w:rPr>
        <w:t>三、公司如應取得二家以上專業估價者之估價報告，不同專業估價者或估價人員不得互為關係人或有實質關係人之情形。前項人員於出具估價報告或意見書時，</w:t>
      </w:r>
      <w:r w:rsidR="003B1A02" w:rsidRPr="00CC0CE5">
        <w:rPr>
          <w:rFonts w:ascii="標楷體" w:eastAsia="標楷體" w:hAnsi="標楷體" w:hint="eastAsia"/>
          <w:color w:val="000000"/>
          <w:sz w:val="20"/>
        </w:rPr>
        <w:t>應依</w:t>
      </w:r>
      <w:r w:rsidR="003B1A02" w:rsidRPr="00CC0CE5">
        <w:rPr>
          <w:rFonts w:ascii="標楷體" w:eastAsia="標楷體" w:hAnsi="標楷體"/>
          <w:color w:val="FF0000"/>
          <w:sz w:val="20"/>
        </w:rPr>
        <w:t>其所屬各同業公會之自律規範及</w:t>
      </w:r>
      <w:r w:rsidR="003B1A02" w:rsidRPr="00CC0CE5">
        <w:rPr>
          <w:rFonts w:ascii="標楷體" w:eastAsia="標楷體" w:hAnsi="標楷體" w:hint="eastAsia"/>
          <w:color w:val="000000"/>
          <w:sz w:val="20"/>
        </w:rPr>
        <w:t>下列事項辦理：</w:t>
      </w:r>
    </w:p>
    <w:p w:rsidR="00054D39" w:rsidRPr="00C95BA4" w:rsidRDefault="00054D39" w:rsidP="00FF7E5A">
      <w:pPr>
        <w:spacing w:line="240" w:lineRule="exact"/>
        <w:ind w:leftChars="376" w:left="902" w:firstLineChars="300" w:firstLine="600"/>
        <w:jc w:val="both"/>
        <w:rPr>
          <w:rFonts w:ascii="標楷體" w:eastAsia="標楷體"/>
          <w:sz w:val="20"/>
          <w:lang w:eastAsia="zh-TW"/>
        </w:rPr>
      </w:pPr>
      <w:r w:rsidRPr="00C95BA4">
        <w:rPr>
          <w:rFonts w:ascii="標楷體" w:eastAsia="標楷體" w:hint="eastAsia"/>
          <w:sz w:val="20"/>
          <w:lang w:eastAsia="zh-TW"/>
        </w:rPr>
        <w:t>一、承接案件前，應審慎評估自身專業能力、實務經驗及獨立性。</w:t>
      </w:r>
    </w:p>
    <w:p w:rsidR="00054D39" w:rsidRPr="00C95BA4" w:rsidRDefault="00054D39" w:rsidP="00750CBC">
      <w:pPr>
        <w:spacing w:line="240" w:lineRule="exact"/>
        <w:ind w:leftChars="626" w:left="1902" w:hangingChars="200" w:hanging="400"/>
        <w:jc w:val="both"/>
        <w:rPr>
          <w:rFonts w:ascii="標楷體" w:eastAsia="標楷體"/>
          <w:sz w:val="20"/>
          <w:lang w:eastAsia="zh-TW"/>
        </w:rPr>
      </w:pPr>
      <w:r w:rsidRPr="00C95BA4">
        <w:rPr>
          <w:rFonts w:ascii="標楷體" w:eastAsia="標楷體" w:hint="eastAsia"/>
          <w:sz w:val="20"/>
          <w:lang w:eastAsia="zh-TW"/>
        </w:rPr>
        <w:t>二、</w:t>
      </w:r>
      <w:r w:rsidR="003B1A02" w:rsidRPr="00CC0CE5">
        <w:rPr>
          <w:rFonts w:ascii="標楷體" w:eastAsia="標楷體" w:hAnsi="標楷體"/>
          <w:color w:val="FF0000"/>
          <w:sz w:val="20"/>
        </w:rPr>
        <w:t>執行</w:t>
      </w:r>
      <w:r w:rsidRPr="00C95BA4">
        <w:rPr>
          <w:rFonts w:ascii="標楷體" w:eastAsia="標楷體" w:hint="eastAsia"/>
          <w:sz w:val="20"/>
          <w:lang w:eastAsia="zh-TW"/>
        </w:rPr>
        <w:t>查核案件時，應妥善規劃及執行適當作業流程，以形成結論並據以出具報告或意見書；並將所執行程序、蒐集資料及結論，詳實登載於案件工作底稿。</w:t>
      </w:r>
    </w:p>
    <w:p w:rsidR="003B1A02" w:rsidRPr="00CC0CE5" w:rsidRDefault="003B1A02" w:rsidP="003B1A02">
      <w:pPr>
        <w:spacing w:line="240" w:lineRule="exact"/>
        <w:ind w:leftChars="650" w:left="1986" w:hangingChars="213" w:hanging="426"/>
        <w:jc w:val="both"/>
        <w:rPr>
          <w:rFonts w:ascii="標楷體" w:eastAsia="標楷體" w:hAnsi="標楷體"/>
          <w:color w:val="000000"/>
          <w:sz w:val="20"/>
        </w:rPr>
      </w:pPr>
      <w:r w:rsidRPr="00CC0CE5">
        <w:rPr>
          <w:rFonts w:ascii="標楷體" w:eastAsia="標楷體" w:hAnsi="標楷體" w:hint="eastAsia"/>
          <w:color w:val="000000"/>
          <w:sz w:val="20"/>
        </w:rPr>
        <w:t>三、對於所使用之資料來源、參數及資訊等，應逐項評估其</w:t>
      </w:r>
      <w:r w:rsidRPr="00CC0CE5">
        <w:rPr>
          <w:rFonts w:ascii="標楷體" w:eastAsia="標楷體" w:hAnsi="標楷體"/>
          <w:color w:val="FF0000"/>
          <w:sz w:val="20"/>
        </w:rPr>
        <w:t>適當性</w:t>
      </w:r>
      <w:r w:rsidRPr="00CC0CE5">
        <w:rPr>
          <w:rFonts w:ascii="標楷體" w:eastAsia="標楷體" w:hAnsi="標楷體" w:hint="eastAsia"/>
          <w:color w:val="000000"/>
          <w:sz w:val="20"/>
        </w:rPr>
        <w:t>及合理性，以做為出具估價報告或意見書之基礎。</w:t>
      </w:r>
    </w:p>
    <w:p w:rsidR="00011C77" w:rsidRPr="00C95BA4" w:rsidRDefault="003B1A02" w:rsidP="003B1A02">
      <w:pPr>
        <w:spacing w:line="240" w:lineRule="exact"/>
        <w:ind w:leftChars="626" w:left="1802" w:hangingChars="150" w:hanging="300"/>
        <w:jc w:val="both"/>
        <w:rPr>
          <w:rFonts w:ascii="標楷體" w:eastAsia="標楷體"/>
          <w:sz w:val="20"/>
          <w:lang w:eastAsia="zh-TW"/>
        </w:rPr>
      </w:pPr>
      <w:r w:rsidRPr="00CC0CE5">
        <w:rPr>
          <w:rFonts w:ascii="標楷體" w:eastAsia="標楷體" w:hAnsi="標楷體" w:hint="eastAsia"/>
          <w:color w:val="000000"/>
          <w:sz w:val="20"/>
        </w:rPr>
        <w:t>四、聲明事項，應包括相關人員具備專業性與獨立性、已評估所使用之資訊為</w:t>
      </w:r>
      <w:r w:rsidRPr="00CC0CE5">
        <w:rPr>
          <w:rFonts w:ascii="標楷體" w:eastAsia="標楷體" w:hAnsi="標楷體"/>
          <w:color w:val="FF0000"/>
          <w:sz w:val="20"/>
        </w:rPr>
        <w:t>適當且</w:t>
      </w:r>
      <w:r w:rsidRPr="00CC0CE5">
        <w:rPr>
          <w:rFonts w:ascii="標楷體" w:eastAsia="標楷體" w:hAnsi="標楷體" w:hint="eastAsia"/>
          <w:color w:val="000000"/>
          <w:sz w:val="20"/>
        </w:rPr>
        <w:t>合理及遵循相關法令等事項。</w:t>
      </w:r>
    </w:p>
    <w:p w:rsidR="00011C77" w:rsidRPr="00193EEF" w:rsidRDefault="00011C77" w:rsidP="00011C77">
      <w:pPr>
        <w:spacing w:line="240" w:lineRule="exact"/>
        <w:ind w:leftChars="376" w:left="902"/>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本公司係經法院拍賣程序取得或處分資產者，得以法院所出具之證明文件替代估價報告或會計師意見。</w:t>
      </w:r>
    </w:p>
    <w:p w:rsidR="00011C77" w:rsidRPr="00193EEF" w:rsidRDefault="00011C77" w:rsidP="00C87B3A">
      <w:pPr>
        <w:spacing w:beforeLines="50" w:before="180" w:line="120" w:lineRule="exact"/>
        <w:ind w:left="958" w:hanging="958"/>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 xml:space="preserve">　　　　價格決定方式</w:t>
      </w:r>
    </w:p>
    <w:p w:rsidR="00011C77" w:rsidRPr="00193EEF" w:rsidRDefault="00011C77" w:rsidP="00011C77">
      <w:pPr>
        <w:spacing w:line="240" w:lineRule="exact"/>
        <w:ind w:leftChars="334" w:left="1202"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一、取得或處分已於集中交易市場或在財團法人中華民國證券櫃檯買賣中心（以下簡稱櫃檯買賣中心）買賣之有價證券，依當時之交易價格決定之。</w:t>
      </w:r>
    </w:p>
    <w:p w:rsidR="00011C77" w:rsidRPr="00193EEF" w:rsidRDefault="00011C77" w:rsidP="00011C77">
      <w:pPr>
        <w:spacing w:line="240" w:lineRule="exact"/>
        <w:ind w:leftChars="334" w:left="1202"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二、取得或處分非集中交易市場或櫃檯買賣中心買賣之有價證券，應先取具標的公司最近期經會計師查核簽證或核閱之財務報表作為評估交易價格之參考，考量其每股淨值、獲利能力、未來發展潛力及參考當時交易價格議定之，或參考當時市場利率、債券票面利率及債務人債信等後議定之。</w:t>
      </w:r>
    </w:p>
    <w:p w:rsidR="00011C77" w:rsidRPr="00193EEF" w:rsidRDefault="00011C77" w:rsidP="00011C77">
      <w:pPr>
        <w:spacing w:line="240" w:lineRule="exact"/>
        <w:ind w:leftChars="334" w:left="1202"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三、取得或處分不動產，應參考公告現值、評定價值、鄰近不動產實際交易價格並參酌帳面價值議定之。</w:t>
      </w:r>
    </w:p>
    <w:p w:rsidR="00011C77" w:rsidRPr="00193EEF" w:rsidRDefault="00011C77" w:rsidP="00011C77">
      <w:pPr>
        <w:spacing w:line="240" w:lineRule="exact"/>
        <w:ind w:leftChars="334" w:left="1202"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四、取得或處分其他固定資產，應參考公告現值、評定價值、供應商報價等議定之。</w:t>
      </w:r>
    </w:p>
    <w:p w:rsidR="00011C77" w:rsidRPr="00193EEF" w:rsidRDefault="00011C77" w:rsidP="00011C77">
      <w:pPr>
        <w:spacing w:line="240" w:lineRule="exact"/>
        <w:ind w:leftChars="334" w:left="1202"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五、取得或處分會員證，應考量其可產生之效益，參酌最近之成交價格，以比價或議價方式擇一為之。</w:t>
      </w:r>
    </w:p>
    <w:p w:rsidR="00011C77" w:rsidRPr="00FD2B55" w:rsidRDefault="00011C77" w:rsidP="00C16EF9">
      <w:pPr>
        <w:spacing w:line="240" w:lineRule="exact"/>
        <w:ind w:left="1200" w:hangingChars="600" w:hanging="1200"/>
        <w:jc w:val="both"/>
        <w:rPr>
          <w:rFonts w:ascii="標楷體" w:eastAsia="標楷體" w:hAnsi="標楷體"/>
          <w:sz w:val="20"/>
          <w:lang w:eastAsia="zh-TW"/>
        </w:rPr>
      </w:pPr>
      <w:r w:rsidRPr="00193EEF">
        <w:rPr>
          <w:rFonts w:ascii="標楷體" w:eastAsia="標楷體" w:hAnsi="標楷體" w:hint="eastAsia"/>
          <w:color w:val="000000"/>
          <w:sz w:val="20"/>
          <w:lang w:eastAsia="zh-TW"/>
        </w:rPr>
        <w:t xml:space="preserve">       </w:t>
      </w:r>
      <w:r w:rsidRPr="003B15FA">
        <w:rPr>
          <w:rFonts w:ascii="標楷體" w:eastAsia="標楷體" w:hAnsi="標楷體" w:hint="eastAsia"/>
          <w:color w:val="FF0000"/>
          <w:sz w:val="20"/>
          <w:lang w:eastAsia="zh-TW"/>
        </w:rPr>
        <w:t xml:space="preserve"> </w:t>
      </w:r>
      <w:r w:rsidRPr="00FD2B55">
        <w:rPr>
          <w:rFonts w:ascii="標楷體" w:eastAsia="標楷體" w:hAnsi="標楷體" w:hint="eastAsia"/>
          <w:sz w:val="20"/>
          <w:lang w:eastAsia="zh-TW"/>
        </w:rPr>
        <w:t>六、</w:t>
      </w:r>
      <w:r w:rsidR="00FD2B55" w:rsidRPr="00FD2B55">
        <w:rPr>
          <w:rFonts w:ascii="標楷體" w:eastAsia="標楷體" w:hAnsi="標楷體" w:hint="eastAsia"/>
          <w:sz w:val="20"/>
          <w:lang w:eastAsia="zh-TW"/>
        </w:rPr>
        <w:t>取得或處分無形資產</w:t>
      </w:r>
      <w:r w:rsidR="00FD2B55" w:rsidRPr="004E7EDF">
        <w:rPr>
          <w:rFonts w:ascii="標楷體" w:eastAsia="標楷體" w:hAnsi="標楷體" w:hint="eastAsia"/>
          <w:sz w:val="20"/>
          <w:lang w:eastAsia="zh-TW"/>
        </w:rPr>
        <w:t>或其使用權資產或會員證</w:t>
      </w:r>
      <w:r w:rsidR="00FD2B55" w:rsidRPr="00FD2B55">
        <w:rPr>
          <w:rFonts w:ascii="標楷體" w:eastAsia="標楷體" w:hAnsi="標楷體" w:hint="eastAsia"/>
          <w:sz w:val="20"/>
          <w:lang w:eastAsia="zh-TW"/>
        </w:rPr>
        <w:t>交易金額</w:t>
      </w:r>
      <w:r w:rsidRPr="00FD2B55">
        <w:rPr>
          <w:rFonts w:ascii="標楷體" w:eastAsia="標楷體" w:hAnsi="標楷體" w:hint="eastAsia"/>
          <w:sz w:val="20"/>
          <w:lang w:eastAsia="zh-TW"/>
        </w:rPr>
        <w:t>，應參考專家評估報告、國際或市場慣例、可使用年限及對公司技術、業務之影響等議定之。</w:t>
      </w:r>
    </w:p>
    <w:p w:rsidR="00011C77" w:rsidRPr="00193EEF" w:rsidRDefault="00011C77" w:rsidP="00011C77">
      <w:pPr>
        <w:spacing w:line="240" w:lineRule="exact"/>
        <w:ind w:left="1080" w:hanging="108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 xml:space="preserve">        七、取得或處分衍生性金融商品，應依照本處理程序第三章之相關規定辦理。</w:t>
      </w:r>
    </w:p>
    <w:p w:rsidR="00011C77" w:rsidRPr="00193EEF" w:rsidRDefault="00011C77" w:rsidP="00750CBC">
      <w:pPr>
        <w:spacing w:line="240" w:lineRule="exact"/>
        <w:ind w:left="1200" w:hangingChars="600" w:hanging="12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 xml:space="preserve">        八、取得或處分依法律合併、分割、收購或股份受讓而取得或處分之資產，應依照本處理程序第四章之相關規定辦理。</w:t>
      </w:r>
    </w:p>
    <w:p w:rsidR="00011C77" w:rsidRPr="00193EEF" w:rsidRDefault="00011C77" w:rsidP="00C87B3A">
      <w:pPr>
        <w:spacing w:beforeLines="50" w:before="180" w:line="240" w:lineRule="exact"/>
        <w:ind w:left="1077" w:hanging="1077"/>
        <w:jc w:val="both"/>
        <w:rPr>
          <w:rFonts w:ascii="標楷體" w:eastAsia="標楷體" w:hAnsi="標楷體"/>
          <w:color w:val="000000"/>
          <w:sz w:val="20"/>
          <w:lang w:eastAsia="zh-TW"/>
        </w:rPr>
      </w:pPr>
      <w:r w:rsidRPr="00E5283F">
        <w:rPr>
          <w:rFonts w:ascii="標楷體" w:eastAsia="標楷體" w:hAnsi="標楷體" w:hint="eastAsia"/>
          <w:color w:val="000000"/>
          <w:sz w:val="20"/>
          <w:lang w:eastAsia="zh-TW"/>
        </w:rPr>
        <w:t>第五條</w:t>
      </w:r>
      <w:r w:rsidRPr="00193EEF">
        <w:rPr>
          <w:rFonts w:ascii="標楷體" w:eastAsia="標楷體" w:hAnsi="標楷體" w:hint="eastAsia"/>
          <w:color w:val="000000"/>
          <w:sz w:val="20"/>
          <w:lang w:eastAsia="zh-TW"/>
        </w:rPr>
        <w:t>：作業程序</w:t>
      </w:r>
    </w:p>
    <w:p w:rsidR="00011C77" w:rsidRPr="00193EEF" w:rsidRDefault="00011C77" w:rsidP="00011C77">
      <w:pPr>
        <w:spacing w:line="240" w:lineRule="exact"/>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lastRenderedPageBreak/>
        <w:t xml:space="preserve">　　　　授權額度與層級</w:t>
      </w:r>
    </w:p>
    <w:p w:rsidR="00011C77" w:rsidRPr="00193EEF" w:rsidRDefault="00011C77" w:rsidP="00C87B3A">
      <w:pPr>
        <w:spacing w:afterLines="50" w:after="180" w:line="240" w:lineRule="exact"/>
        <w:ind w:leftChars="333" w:left="1177" w:hangingChars="189" w:hanging="378"/>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一、於集中交易市場或證券商營業處所為之有價證券買賣，其投資總額度及單一標的投資上限如下：</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800"/>
        <w:gridCol w:w="1980"/>
      </w:tblGrid>
      <w:tr w:rsidR="00011C77" w:rsidRPr="006C7677" w:rsidTr="006C7677">
        <w:trPr>
          <w:trHeight w:val="267"/>
        </w:trPr>
        <w:tc>
          <w:tcPr>
            <w:tcW w:w="3060" w:type="dxa"/>
            <w:shd w:val="clear" w:color="auto" w:fill="auto"/>
            <w:vAlign w:val="center"/>
          </w:tcPr>
          <w:p w:rsidR="00011C77" w:rsidRPr="006C7677" w:rsidRDefault="00011C77" w:rsidP="006C7677">
            <w:pPr>
              <w:spacing w:line="240" w:lineRule="exact"/>
              <w:jc w:val="center"/>
              <w:rPr>
                <w:rFonts w:ascii="標楷體" w:eastAsia="標楷體" w:hAnsi="標楷體"/>
                <w:color w:val="000000"/>
                <w:sz w:val="20"/>
              </w:rPr>
            </w:pPr>
            <w:r w:rsidRPr="006C7677">
              <w:rPr>
                <w:rFonts w:ascii="標楷體" w:eastAsia="標楷體" w:hAnsi="標楷體" w:hint="eastAsia"/>
                <w:color w:val="000000"/>
                <w:sz w:val="20"/>
              </w:rPr>
              <w:t>投 資 標 的</w:t>
            </w:r>
          </w:p>
        </w:tc>
        <w:tc>
          <w:tcPr>
            <w:tcW w:w="1800" w:type="dxa"/>
            <w:shd w:val="clear" w:color="auto" w:fill="auto"/>
            <w:vAlign w:val="center"/>
          </w:tcPr>
          <w:p w:rsidR="00011C77" w:rsidRPr="006C7677" w:rsidRDefault="00011C77" w:rsidP="006C7677">
            <w:pPr>
              <w:spacing w:line="240" w:lineRule="exact"/>
              <w:jc w:val="center"/>
              <w:rPr>
                <w:rFonts w:ascii="標楷體" w:eastAsia="標楷體" w:hAnsi="標楷體"/>
                <w:color w:val="000000"/>
                <w:sz w:val="20"/>
              </w:rPr>
            </w:pPr>
            <w:r w:rsidRPr="006C7677">
              <w:rPr>
                <w:rFonts w:ascii="標楷體" w:eastAsia="標楷體" w:hAnsi="標楷體" w:hint="eastAsia"/>
                <w:color w:val="000000"/>
                <w:sz w:val="20"/>
              </w:rPr>
              <w:t>投資總額</w:t>
            </w:r>
          </w:p>
        </w:tc>
        <w:tc>
          <w:tcPr>
            <w:tcW w:w="1980" w:type="dxa"/>
            <w:shd w:val="clear" w:color="auto" w:fill="auto"/>
            <w:vAlign w:val="center"/>
          </w:tcPr>
          <w:p w:rsidR="00011C77" w:rsidRPr="006C7677" w:rsidRDefault="00011C77" w:rsidP="006C7677">
            <w:pPr>
              <w:spacing w:line="240" w:lineRule="exact"/>
              <w:jc w:val="center"/>
              <w:rPr>
                <w:rFonts w:ascii="標楷體" w:eastAsia="標楷體" w:hAnsi="標楷體"/>
                <w:color w:val="000000"/>
                <w:sz w:val="20"/>
              </w:rPr>
            </w:pPr>
            <w:r w:rsidRPr="006C7677">
              <w:rPr>
                <w:rFonts w:ascii="標楷體" w:eastAsia="標楷體" w:hAnsi="標楷體" w:hint="eastAsia"/>
                <w:color w:val="000000"/>
                <w:sz w:val="20"/>
              </w:rPr>
              <w:t>單一標的投資上限</w:t>
            </w:r>
          </w:p>
        </w:tc>
      </w:tr>
      <w:tr w:rsidR="00011C77" w:rsidRPr="006C7677" w:rsidTr="006C7677">
        <w:trPr>
          <w:trHeight w:val="167"/>
        </w:trPr>
        <w:tc>
          <w:tcPr>
            <w:tcW w:w="3060" w:type="dxa"/>
            <w:shd w:val="clear" w:color="auto" w:fill="auto"/>
            <w:vAlign w:val="center"/>
          </w:tcPr>
          <w:p w:rsidR="00011C77" w:rsidRPr="006C7677" w:rsidRDefault="00011C77" w:rsidP="006C7677">
            <w:pPr>
              <w:spacing w:line="240" w:lineRule="exact"/>
              <w:rPr>
                <w:rFonts w:ascii="標楷體" w:eastAsia="標楷體" w:hAnsi="標楷體"/>
                <w:color w:val="000000"/>
                <w:sz w:val="20"/>
              </w:rPr>
            </w:pPr>
            <w:r w:rsidRPr="006C7677">
              <w:rPr>
                <w:rFonts w:ascii="標楷體" w:eastAsia="標楷體" w:hAnsi="標楷體" w:hint="eastAsia"/>
                <w:color w:val="000000"/>
                <w:sz w:val="20"/>
              </w:rPr>
              <w:t>國內、外票券(債劵)</w:t>
            </w:r>
          </w:p>
        </w:tc>
        <w:tc>
          <w:tcPr>
            <w:tcW w:w="1800" w:type="dxa"/>
            <w:shd w:val="clear" w:color="auto" w:fill="auto"/>
            <w:vAlign w:val="center"/>
          </w:tcPr>
          <w:p w:rsidR="00011C77" w:rsidRPr="006C7677" w:rsidRDefault="00011C77" w:rsidP="006C7677">
            <w:pPr>
              <w:spacing w:line="240" w:lineRule="exact"/>
              <w:jc w:val="center"/>
              <w:rPr>
                <w:rFonts w:ascii="標楷體" w:eastAsia="標楷體" w:hAnsi="標楷體"/>
                <w:color w:val="000000"/>
                <w:sz w:val="20"/>
              </w:rPr>
            </w:pPr>
          </w:p>
        </w:tc>
        <w:tc>
          <w:tcPr>
            <w:tcW w:w="1980" w:type="dxa"/>
            <w:shd w:val="clear" w:color="auto" w:fill="auto"/>
            <w:vAlign w:val="center"/>
          </w:tcPr>
          <w:p w:rsidR="00011C77" w:rsidRPr="006C7677" w:rsidRDefault="00011C77" w:rsidP="006C7677">
            <w:pPr>
              <w:spacing w:line="240" w:lineRule="exact"/>
              <w:jc w:val="center"/>
              <w:rPr>
                <w:rFonts w:ascii="標楷體" w:eastAsia="標楷體" w:hAnsi="標楷體"/>
                <w:color w:val="000000"/>
                <w:sz w:val="20"/>
              </w:rPr>
            </w:pPr>
            <w:r w:rsidRPr="006C7677">
              <w:rPr>
                <w:rFonts w:ascii="標楷體" w:eastAsia="標楷體" w:hAnsi="標楷體" w:hint="eastAsia"/>
                <w:color w:val="000000"/>
                <w:sz w:val="20"/>
              </w:rPr>
              <w:t xml:space="preserve"> 50,000,000</w:t>
            </w:r>
          </w:p>
        </w:tc>
      </w:tr>
      <w:tr w:rsidR="00011C77" w:rsidRPr="006C7677" w:rsidTr="006C7677">
        <w:trPr>
          <w:trHeight w:val="245"/>
        </w:trPr>
        <w:tc>
          <w:tcPr>
            <w:tcW w:w="3060" w:type="dxa"/>
            <w:shd w:val="clear" w:color="auto" w:fill="auto"/>
            <w:vAlign w:val="center"/>
          </w:tcPr>
          <w:p w:rsidR="00011C77" w:rsidRPr="006C7677" w:rsidRDefault="00011C77" w:rsidP="006C7677">
            <w:pPr>
              <w:spacing w:line="240" w:lineRule="exact"/>
              <w:rPr>
                <w:rFonts w:ascii="標楷體" w:eastAsia="標楷體" w:hAnsi="標楷體"/>
                <w:color w:val="000000"/>
                <w:sz w:val="20"/>
              </w:rPr>
            </w:pPr>
            <w:r w:rsidRPr="006C7677">
              <w:rPr>
                <w:rFonts w:ascii="標楷體" w:eastAsia="標楷體" w:hAnsi="標楷體" w:hint="eastAsia"/>
                <w:color w:val="000000"/>
                <w:sz w:val="20"/>
              </w:rPr>
              <w:t>定期存款</w:t>
            </w:r>
          </w:p>
        </w:tc>
        <w:tc>
          <w:tcPr>
            <w:tcW w:w="1800" w:type="dxa"/>
            <w:shd w:val="clear" w:color="auto" w:fill="auto"/>
            <w:vAlign w:val="center"/>
          </w:tcPr>
          <w:p w:rsidR="00011C77" w:rsidRPr="006C7677" w:rsidRDefault="00011C77" w:rsidP="006C7677">
            <w:pPr>
              <w:spacing w:line="240" w:lineRule="exact"/>
              <w:jc w:val="center"/>
              <w:rPr>
                <w:rFonts w:ascii="標楷體" w:eastAsia="標楷體" w:hAnsi="標楷體"/>
                <w:color w:val="000000"/>
                <w:sz w:val="20"/>
              </w:rPr>
            </w:pPr>
          </w:p>
        </w:tc>
        <w:tc>
          <w:tcPr>
            <w:tcW w:w="1980" w:type="dxa"/>
            <w:shd w:val="clear" w:color="auto" w:fill="auto"/>
            <w:vAlign w:val="center"/>
          </w:tcPr>
          <w:p w:rsidR="00011C77" w:rsidRPr="006C7677" w:rsidRDefault="00011C77" w:rsidP="006C7677">
            <w:pPr>
              <w:spacing w:line="240" w:lineRule="exact"/>
              <w:jc w:val="center"/>
              <w:rPr>
                <w:rFonts w:ascii="標楷體" w:eastAsia="標楷體" w:hAnsi="標楷體"/>
                <w:color w:val="000000"/>
                <w:sz w:val="20"/>
              </w:rPr>
            </w:pPr>
            <w:r w:rsidRPr="006C7677">
              <w:rPr>
                <w:rFonts w:ascii="標楷體" w:eastAsia="標楷體" w:hAnsi="標楷體" w:hint="eastAsia"/>
                <w:color w:val="000000"/>
                <w:sz w:val="20"/>
              </w:rPr>
              <w:t>100,000,000</w:t>
            </w:r>
          </w:p>
        </w:tc>
      </w:tr>
      <w:tr w:rsidR="00011C77" w:rsidRPr="006C7677" w:rsidTr="006C7677">
        <w:trPr>
          <w:trHeight w:val="203"/>
        </w:trPr>
        <w:tc>
          <w:tcPr>
            <w:tcW w:w="3060" w:type="dxa"/>
            <w:shd w:val="clear" w:color="auto" w:fill="auto"/>
            <w:vAlign w:val="center"/>
          </w:tcPr>
          <w:p w:rsidR="00011C77" w:rsidRPr="006C7677" w:rsidRDefault="00011C77" w:rsidP="006C7677">
            <w:pPr>
              <w:spacing w:line="240" w:lineRule="exact"/>
              <w:rPr>
                <w:rFonts w:ascii="標楷體" w:eastAsia="標楷體" w:hAnsi="標楷體"/>
                <w:color w:val="000000"/>
                <w:sz w:val="20"/>
              </w:rPr>
            </w:pPr>
            <w:r w:rsidRPr="006C7677">
              <w:rPr>
                <w:rFonts w:ascii="標楷體" w:eastAsia="標楷體" w:hAnsi="標楷體" w:hint="eastAsia"/>
                <w:color w:val="000000"/>
                <w:sz w:val="20"/>
              </w:rPr>
              <w:t>可轉讓定存單</w:t>
            </w:r>
          </w:p>
        </w:tc>
        <w:tc>
          <w:tcPr>
            <w:tcW w:w="1800" w:type="dxa"/>
            <w:shd w:val="clear" w:color="auto" w:fill="auto"/>
            <w:vAlign w:val="center"/>
          </w:tcPr>
          <w:p w:rsidR="00011C77" w:rsidRPr="006C7677" w:rsidRDefault="00011C77" w:rsidP="006C7677">
            <w:pPr>
              <w:spacing w:line="240" w:lineRule="exact"/>
              <w:jc w:val="center"/>
              <w:rPr>
                <w:rFonts w:ascii="標楷體" w:eastAsia="標楷體" w:hAnsi="標楷體"/>
                <w:color w:val="000000"/>
                <w:sz w:val="20"/>
              </w:rPr>
            </w:pPr>
          </w:p>
        </w:tc>
        <w:tc>
          <w:tcPr>
            <w:tcW w:w="1980" w:type="dxa"/>
            <w:shd w:val="clear" w:color="auto" w:fill="auto"/>
            <w:vAlign w:val="center"/>
          </w:tcPr>
          <w:p w:rsidR="00011C77" w:rsidRPr="006C7677" w:rsidRDefault="00011C77" w:rsidP="006C7677">
            <w:pPr>
              <w:spacing w:line="240" w:lineRule="exact"/>
              <w:jc w:val="center"/>
              <w:rPr>
                <w:rFonts w:ascii="標楷體" w:eastAsia="標楷體" w:hAnsi="標楷體"/>
                <w:color w:val="000000"/>
                <w:sz w:val="20"/>
              </w:rPr>
            </w:pPr>
            <w:r w:rsidRPr="006C7677">
              <w:rPr>
                <w:rFonts w:ascii="標楷體" w:eastAsia="標楷體" w:hAnsi="標楷體" w:hint="eastAsia"/>
                <w:color w:val="000000"/>
                <w:sz w:val="20"/>
              </w:rPr>
              <w:t>100,000,000</w:t>
            </w:r>
          </w:p>
        </w:tc>
      </w:tr>
      <w:tr w:rsidR="00011C77" w:rsidRPr="006C7677" w:rsidTr="006C7677">
        <w:trPr>
          <w:trHeight w:val="132"/>
        </w:trPr>
        <w:tc>
          <w:tcPr>
            <w:tcW w:w="3060" w:type="dxa"/>
            <w:shd w:val="clear" w:color="auto" w:fill="auto"/>
            <w:vAlign w:val="center"/>
          </w:tcPr>
          <w:p w:rsidR="00011C77" w:rsidRPr="006C7677" w:rsidRDefault="00011C77" w:rsidP="006C7677">
            <w:pPr>
              <w:spacing w:line="240" w:lineRule="exact"/>
              <w:rPr>
                <w:rFonts w:ascii="標楷體" w:eastAsia="標楷體" w:hAnsi="標楷體"/>
                <w:color w:val="000000"/>
                <w:sz w:val="20"/>
              </w:rPr>
            </w:pPr>
            <w:r w:rsidRPr="006C7677">
              <w:rPr>
                <w:rFonts w:ascii="標楷體" w:eastAsia="標楷體" w:hAnsi="標楷體" w:hint="eastAsia"/>
                <w:color w:val="000000"/>
                <w:sz w:val="20"/>
              </w:rPr>
              <w:t>開放式債券型基金</w:t>
            </w:r>
          </w:p>
        </w:tc>
        <w:tc>
          <w:tcPr>
            <w:tcW w:w="1800" w:type="dxa"/>
            <w:shd w:val="clear" w:color="auto" w:fill="auto"/>
            <w:vAlign w:val="center"/>
          </w:tcPr>
          <w:p w:rsidR="00011C77" w:rsidRPr="006C7677" w:rsidRDefault="00011C77" w:rsidP="006C7677">
            <w:pPr>
              <w:spacing w:line="240" w:lineRule="exact"/>
              <w:jc w:val="center"/>
              <w:rPr>
                <w:rFonts w:ascii="標楷體" w:eastAsia="標楷體" w:hAnsi="標楷體"/>
                <w:color w:val="000000"/>
                <w:sz w:val="20"/>
              </w:rPr>
            </w:pPr>
            <w:r w:rsidRPr="006C7677">
              <w:rPr>
                <w:rFonts w:ascii="標楷體" w:eastAsia="標楷體" w:hAnsi="標楷體" w:hint="eastAsia"/>
                <w:color w:val="000000"/>
                <w:sz w:val="20"/>
              </w:rPr>
              <w:t>200,000,000</w:t>
            </w:r>
          </w:p>
        </w:tc>
        <w:tc>
          <w:tcPr>
            <w:tcW w:w="1980" w:type="dxa"/>
            <w:shd w:val="clear" w:color="auto" w:fill="auto"/>
            <w:vAlign w:val="center"/>
          </w:tcPr>
          <w:p w:rsidR="00011C77" w:rsidRPr="006C7677" w:rsidRDefault="00011C77" w:rsidP="006C7677">
            <w:pPr>
              <w:spacing w:line="240" w:lineRule="exact"/>
              <w:jc w:val="center"/>
              <w:rPr>
                <w:rFonts w:ascii="標楷體" w:eastAsia="標楷體" w:hAnsi="標楷體"/>
                <w:color w:val="000000"/>
                <w:sz w:val="20"/>
              </w:rPr>
            </w:pPr>
            <w:r w:rsidRPr="006C7677">
              <w:rPr>
                <w:rFonts w:ascii="標楷體" w:eastAsia="標楷體" w:hAnsi="標楷體" w:hint="eastAsia"/>
                <w:color w:val="000000"/>
                <w:sz w:val="20"/>
              </w:rPr>
              <w:t>100,000,000</w:t>
            </w:r>
          </w:p>
        </w:tc>
      </w:tr>
      <w:tr w:rsidR="00011C77" w:rsidRPr="006C7677" w:rsidTr="006C7677">
        <w:trPr>
          <w:trHeight w:val="419"/>
        </w:trPr>
        <w:tc>
          <w:tcPr>
            <w:tcW w:w="3060" w:type="dxa"/>
            <w:shd w:val="clear" w:color="auto" w:fill="auto"/>
            <w:vAlign w:val="center"/>
          </w:tcPr>
          <w:p w:rsidR="00011C77" w:rsidRPr="006C7677" w:rsidRDefault="00011C77" w:rsidP="006C7677">
            <w:pPr>
              <w:spacing w:line="240" w:lineRule="exact"/>
              <w:rPr>
                <w:rFonts w:ascii="標楷體" w:eastAsia="標楷體" w:hAnsi="標楷體"/>
                <w:color w:val="000000"/>
                <w:sz w:val="20"/>
                <w:lang w:eastAsia="zh-TW"/>
              </w:rPr>
            </w:pPr>
            <w:r w:rsidRPr="006C7677">
              <w:rPr>
                <w:rFonts w:ascii="標楷體" w:eastAsia="標楷體" w:hAnsi="標楷體" w:hint="eastAsia"/>
                <w:color w:val="000000"/>
                <w:sz w:val="20"/>
                <w:lang w:eastAsia="zh-TW"/>
              </w:rPr>
              <w:t>上市、櫃股票及其他共同</w:t>
            </w:r>
          </w:p>
          <w:p w:rsidR="00011C77" w:rsidRPr="006C7677" w:rsidRDefault="00011C77" w:rsidP="006C7677">
            <w:pPr>
              <w:spacing w:line="240" w:lineRule="exact"/>
              <w:rPr>
                <w:rFonts w:ascii="標楷體" w:eastAsia="標楷體" w:hAnsi="標楷體"/>
                <w:color w:val="000000"/>
                <w:sz w:val="20"/>
              </w:rPr>
            </w:pPr>
            <w:r w:rsidRPr="006C7677">
              <w:rPr>
                <w:rFonts w:ascii="標楷體" w:eastAsia="標楷體" w:hAnsi="標楷體" w:hint="eastAsia"/>
                <w:color w:val="000000"/>
                <w:sz w:val="20"/>
              </w:rPr>
              <w:t>基金(債券型除外)</w:t>
            </w:r>
          </w:p>
        </w:tc>
        <w:tc>
          <w:tcPr>
            <w:tcW w:w="1800" w:type="dxa"/>
            <w:shd w:val="clear" w:color="auto" w:fill="auto"/>
            <w:vAlign w:val="center"/>
          </w:tcPr>
          <w:p w:rsidR="00011C77" w:rsidRPr="006C7677" w:rsidRDefault="00011C77" w:rsidP="006C7677">
            <w:pPr>
              <w:spacing w:line="240" w:lineRule="exact"/>
              <w:ind w:firstLineChars="50" w:firstLine="100"/>
              <w:jc w:val="center"/>
              <w:rPr>
                <w:rFonts w:ascii="標楷體" w:eastAsia="標楷體" w:hAnsi="標楷體"/>
                <w:color w:val="000000"/>
                <w:sz w:val="20"/>
              </w:rPr>
            </w:pPr>
            <w:r w:rsidRPr="006C7677">
              <w:rPr>
                <w:rFonts w:ascii="標楷體" w:eastAsia="標楷體" w:hAnsi="標楷體" w:hint="eastAsia"/>
                <w:color w:val="000000"/>
                <w:sz w:val="20"/>
              </w:rPr>
              <w:t>50,000,000</w:t>
            </w:r>
          </w:p>
        </w:tc>
        <w:tc>
          <w:tcPr>
            <w:tcW w:w="1980" w:type="dxa"/>
            <w:shd w:val="clear" w:color="auto" w:fill="auto"/>
            <w:vAlign w:val="center"/>
          </w:tcPr>
          <w:p w:rsidR="00011C77" w:rsidRPr="006C7677" w:rsidRDefault="00011C77" w:rsidP="006C7677">
            <w:pPr>
              <w:spacing w:line="240" w:lineRule="exact"/>
              <w:ind w:firstLineChars="50" w:firstLine="100"/>
              <w:jc w:val="center"/>
              <w:rPr>
                <w:rFonts w:ascii="標楷體" w:eastAsia="標楷體" w:hAnsi="標楷體"/>
                <w:color w:val="000000"/>
                <w:sz w:val="20"/>
              </w:rPr>
            </w:pPr>
            <w:r w:rsidRPr="006C7677">
              <w:rPr>
                <w:rFonts w:ascii="標楷體" w:eastAsia="標楷體" w:hAnsi="標楷體" w:hint="eastAsia"/>
                <w:color w:val="000000"/>
                <w:sz w:val="20"/>
              </w:rPr>
              <w:t>20,000,000</w:t>
            </w:r>
          </w:p>
        </w:tc>
      </w:tr>
    </w:tbl>
    <w:p w:rsidR="00011C77" w:rsidRPr="00193EEF" w:rsidRDefault="00011C77" w:rsidP="00011C77">
      <w:pPr>
        <w:spacing w:line="240" w:lineRule="exact"/>
        <w:ind w:leftChars="501" w:left="1202"/>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上述有價證券之取得或處分，其金額未超過單一標的投資上限者，應呈請董事長核准；其金額超過單一標的投資上限時，另須提董事會通過後始得為之。</w:t>
      </w:r>
    </w:p>
    <w:p w:rsidR="00011C77" w:rsidRPr="00193EEF" w:rsidRDefault="00011C77" w:rsidP="00011C77">
      <w:pPr>
        <w:spacing w:line="240" w:lineRule="exact"/>
        <w:ind w:left="1200" w:hangingChars="600" w:hanging="12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 xml:space="preserve">        二、除上項投資標的外之有價證券、不動產</w:t>
      </w:r>
      <w:r w:rsidR="00060032" w:rsidRPr="00060032">
        <w:rPr>
          <w:rFonts w:ascii="標楷體" w:eastAsia="標楷體" w:hAnsi="標楷體" w:hint="eastAsia"/>
          <w:color w:val="000000"/>
          <w:sz w:val="20"/>
          <w:lang w:eastAsia="zh-TW"/>
        </w:rPr>
        <w:t>及</w:t>
      </w:r>
      <w:r w:rsidR="00060032" w:rsidRPr="00C95BA4">
        <w:rPr>
          <w:rFonts w:ascii="標楷體" w:eastAsia="標楷體" w:hAnsi="標楷體" w:hint="eastAsia"/>
          <w:sz w:val="20"/>
          <w:lang w:eastAsia="zh-TW"/>
        </w:rPr>
        <w:t>其使用權資產</w:t>
      </w:r>
      <w:r w:rsidRPr="00193EEF">
        <w:rPr>
          <w:rFonts w:ascii="標楷體" w:eastAsia="標楷體" w:hAnsi="標楷體" w:hint="eastAsia"/>
          <w:color w:val="000000"/>
          <w:sz w:val="20"/>
          <w:lang w:eastAsia="zh-TW"/>
        </w:rPr>
        <w:t>及其他固定資產、會員證、無形資產之取得或處分，其金額在新台幣參仟萬元(含)以下者，應呈請董事長核准；超過新台幣參仟萬元者，另須提董事會通過後，始得為之。</w:t>
      </w:r>
    </w:p>
    <w:p w:rsidR="00011C77" w:rsidRPr="00193EEF" w:rsidRDefault="00011C77" w:rsidP="00011C77">
      <w:pPr>
        <w:spacing w:line="240" w:lineRule="exact"/>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 xml:space="preserve">        三、衍生性商品之取得或處分，依本處理程序第三章之相關規定辦理。</w:t>
      </w:r>
    </w:p>
    <w:p w:rsidR="00011C77" w:rsidRPr="00193EEF" w:rsidRDefault="00011C77" w:rsidP="00011C77">
      <w:pPr>
        <w:spacing w:line="240" w:lineRule="exact"/>
        <w:ind w:left="1200" w:hangingChars="600" w:hanging="12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 xml:space="preserve">　　　　四、依法律合併、分割、收購或股份受讓而取得或處分之資產，依本處理程序第四章之相關規定辦理。</w:t>
      </w:r>
    </w:p>
    <w:p w:rsidR="00E5283F" w:rsidRPr="00E5283F" w:rsidRDefault="00E5283F" w:rsidP="00E5283F">
      <w:pPr>
        <w:spacing w:line="240" w:lineRule="exact"/>
        <w:ind w:leftChars="472" w:left="1133" w:firstLine="1"/>
        <w:jc w:val="both"/>
        <w:rPr>
          <w:rFonts w:ascii="標楷體" w:eastAsia="標楷體" w:hAnsi="標楷體"/>
          <w:color w:val="000000"/>
          <w:sz w:val="20"/>
          <w:lang w:eastAsia="zh-TW" w:bidi="zh-TW"/>
        </w:rPr>
      </w:pPr>
      <w:r w:rsidRPr="00E5283F">
        <w:rPr>
          <w:rFonts w:ascii="標楷體" w:eastAsia="標楷體" w:hAnsi="標楷體" w:hint="eastAsia"/>
          <w:color w:val="000000"/>
          <w:sz w:val="20"/>
          <w:lang w:eastAsia="zh-TW" w:bidi="zh-TW"/>
        </w:rPr>
        <w:t>本公司取得或處分資產依所訂處理程序或其他法律規定應經應經審計委員會同意並經董事會決議通過，如有董事表示異議且有紀錄或書面聲明，公司並應將董事異議資料送審計委員會。</w:t>
      </w:r>
    </w:p>
    <w:p w:rsidR="00E5283F" w:rsidRPr="00E5283F" w:rsidRDefault="00E5283F" w:rsidP="00E5283F">
      <w:pPr>
        <w:spacing w:line="240" w:lineRule="exact"/>
        <w:ind w:leftChars="472" w:left="1133" w:firstLine="1"/>
        <w:jc w:val="both"/>
        <w:rPr>
          <w:rFonts w:ascii="標楷體" w:eastAsia="標楷體" w:hAnsi="標楷體"/>
          <w:color w:val="000000"/>
          <w:sz w:val="20"/>
          <w:lang w:eastAsia="zh-TW" w:bidi="zh-TW"/>
        </w:rPr>
      </w:pPr>
      <w:r w:rsidRPr="00E5283F">
        <w:rPr>
          <w:rFonts w:ascii="標楷體" w:eastAsia="標楷體" w:hAnsi="標楷體" w:hint="eastAsia"/>
          <w:color w:val="000000"/>
          <w:sz w:val="20"/>
          <w:lang w:eastAsia="zh-TW" w:bidi="zh-TW"/>
        </w:rPr>
        <w:t>依規定將取得或處分資產交易提報董事會討論時，應充分考量各獨立董事之意見，獨立董事如有反對意見或保留意見，應於董事會議事錄載明。</w:t>
      </w:r>
    </w:p>
    <w:p w:rsidR="00E5283F" w:rsidRPr="00E5283F" w:rsidRDefault="00E5283F" w:rsidP="00E5283F">
      <w:pPr>
        <w:spacing w:line="240" w:lineRule="exact"/>
        <w:ind w:leftChars="472" w:left="1133" w:firstLine="1"/>
        <w:jc w:val="both"/>
        <w:rPr>
          <w:rFonts w:ascii="標楷體" w:eastAsia="標楷體" w:hAnsi="標楷體"/>
          <w:color w:val="000000"/>
          <w:sz w:val="20"/>
          <w:lang w:eastAsia="zh-TW" w:bidi="zh-TW"/>
        </w:rPr>
      </w:pPr>
      <w:r w:rsidRPr="00E5283F">
        <w:rPr>
          <w:rFonts w:ascii="標楷體" w:eastAsia="標楷體" w:hAnsi="標楷體"/>
          <w:color w:val="000000"/>
          <w:sz w:val="20"/>
          <w:lang w:eastAsia="zh-TW" w:bidi="zh-TW"/>
        </w:rPr>
        <w:t>本公司取得或處分資產依本程序或其他法律規定應經審計委員會通過者</w:t>
      </w:r>
      <w:r w:rsidRPr="00E5283F">
        <w:rPr>
          <w:rFonts w:ascii="標楷體" w:eastAsia="標楷體" w:hAnsi="標楷體" w:hint="eastAsia"/>
          <w:color w:val="000000"/>
          <w:sz w:val="20"/>
          <w:lang w:eastAsia="zh-TW" w:bidi="zh-TW"/>
        </w:rPr>
        <w:t>，應經審計委員會全體成員二分之一以上同意，並提董事會決議。</w:t>
      </w:r>
    </w:p>
    <w:p w:rsidR="00E5283F" w:rsidRPr="00E5283F" w:rsidRDefault="00E5283F" w:rsidP="00E5283F">
      <w:pPr>
        <w:spacing w:line="240" w:lineRule="exact"/>
        <w:ind w:leftChars="472" w:left="1133" w:firstLine="1"/>
        <w:jc w:val="both"/>
        <w:rPr>
          <w:rFonts w:ascii="標楷體" w:eastAsia="標楷體" w:hAnsi="標楷體"/>
          <w:color w:val="000000"/>
          <w:sz w:val="20"/>
          <w:lang w:eastAsia="zh-TW" w:bidi="zh-TW"/>
        </w:rPr>
      </w:pPr>
      <w:r w:rsidRPr="00E5283F">
        <w:rPr>
          <w:rFonts w:ascii="標楷體" w:eastAsia="標楷體" w:hAnsi="標楷體" w:hint="eastAsia"/>
          <w:color w:val="000000"/>
          <w:sz w:val="20"/>
          <w:lang w:eastAsia="zh-TW" w:bidi="zh-TW"/>
        </w:rPr>
        <w:t>前項如未經審計委員會全體成員二分之一以上同意者，得由全體董事三分之二以上同意行之，並應於董事會議事錄載明審計委員會之決議。</w:t>
      </w:r>
    </w:p>
    <w:p w:rsidR="00011C77" w:rsidRPr="00193EEF" w:rsidRDefault="00011C77" w:rsidP="00011C77">
      <w:pPr>
        <w:spacing w:line="240" w:lineRule="exact"/>
        <w:ind w:firstLineChars="400" w:firstLine="8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前項所稱審計委員會全體成員及前項所稱全體董事，以實際在任者計算之。</w:t>
      </w:r>
    </w:p>
    <w:p w:rsidR="00011C77" w:rsidRPr="00193EEF" w:rsidRDefault="00011C77" w:rsidP="00011C77">
      <w:pPr>
        <w:spacing w:line="240" w:lineRule="exact"/>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 xml:space="preserve">　　　　執行單位</w:t>
      </w:r>
    </w:p>
    <w:p w:rsidR="00011C77" w:rsidRPr="00193EEF" w:rsidRDefault="00011C77" w:rsidP="00011C77">
      <w:pPr>
        <w:spacing w:line="240" w:lineRule="exact"/>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 xml:space="preserve">        一、本公司有關有價證券投資之執行單位為行政部。</w:t>
      </w:r>
    </w:p>
    <w:p w:rsidR="00011C77" w:rsidRPr="00193EEF" w:rsidRDefault="00011C77" w:rsidP="00011C77">
      <w:pPr>
        <w:spacing w:line="240" w:lineRule="exact"/>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 xml:space="preserve">        二、不動產及其他固定資產、會員證及無形資產之執行單位為使用部門及行政部。</w:t>
      </w:r>
    </w:p>
    <w:p w:rsidR="00011C77" w:rsidRPr="00193EEF" w:rsidRDefault="00011C77" w:rsidP="00011C77">
      <w:pPr>
        <w:spacing w:line="240" w:lineRule="exact"/>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 xml:space="preserve">        三、衍生性商品之取得或處分由財務課負責評估與執行。</w:t>
      </w:r>
    </w:p>
    <w:p w:rsidR="00011C77" w:rsidRPr="00193EEF" w:rsidRDefault="00011C77" w:rsidP="00011C77">
      <w:pPr>
        <w:spacing w:line="240" w:lineRule="exact"/>
        <w:ind w:left="1200" w:hangingChars="600" w:hanging="12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 xml:space="preserve">        四、依法律合併、分割、收購或股份受讓而取得或處分之資產及其他重要資產，由董事長指示負責人或成立專案小組負責評估與執行。</w:t>
      </w:r>
    </w:p>
    <w:p w:rsidR="00011C77" w:rsidRPr="00193EEF" w:rsidRDefault="00011C77" w:rsidP="00C87B3A">
      <w:pPr>
        <w:spacing w:beforeLines="50" w:before="180" w:line="240" w:lineRule="exact"/>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第六條：投資範圍及額度</w:t>
      </w:r>
    </w:p>
    <w:p w:rsidR="00011C77" w:rsidRPr="00193EEF" w:rsidRDefault="00011C77" w:rsidP="00011C77">
      <w:pPr>
        <w:spacing w:line="240" w:lineRule="exact"/>
        <w:ind w:leftChars="332" w:left="797"/>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本公司及本公司之子公司除取得供營業使用之資產外，尚得投資購買非供營業用之不動產</w:t>
      </w:r>
      <w:r w:rsidR="005B54EA" w:rsidRPr="005B54EA">
        <w:rPr>
          <w:rFonts w:ascii="標楷體" w:eastAsia="標楷體" w:hAnsi="標楷體" w:hint="eastAsia"/>
          <w:color w:val="000000"/>
          <w:sz w:val="20"/>
          <w:lang w:eastAsia="zh-TW"/>
        </w:rPr>
        <w:t>及</w:t>
      </w:r>
      <w:r w:rsidR="005B54EA" w:rsidRPr="00C95BA4">
        <w:rPr>
          <w:rFonts w:ascii="標楷體" w:eastAsia="標楷體" w:hAnsi="標楷體" w:hint="eastAsia"/>
          <w:sz w:val="20"/>
          <w:lang w:eastAsia="zh-TW"/>
        </w:rPr>
        <w:t>其使用權資產</w:t>
      </w:r>
      <w:r w:rsidRPr="00193EEF">
        <w:rPr>
          <w:rFonts w:ascii="標楷體" w:eastAsia="標楷體" w:hAnsi="標楷體" w:hint="eastAsia"/>
          <w:color w:val="000000"/>
          <w:sz w:val="20"/>
          <w:lang w:eastAsia="zh-TW"/>
        </w:rPr>
        <w:t>及有價證券，其額度之限制分別如下：</w:t>
      </w:r>
    </w:p>
    <w:p w:rsidR="00011C77" w:rsidRPr="00193EEF" w:rsidRDefault="00011C77" w:rsidP="00011C77">
      <w:pPr>
        <w:spacing w:line="240" w:lineRule="exact"/>
        <w:ind w:leftChars="292" w:left="1201" w:hangingChars="250" w:hanging="5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 xml:space="preserve"> 一、非供營業使用之不動產，其總額不得高於本公司最近期財務報表淨值的百分之十五。</w:t>
      </w:r>
    </w:p>
    <w:p w:rsidR="00011C77" w:rsidRPr="00193EEF" w:rsidRDefault="00011C77" w:rsidP="00011C77">
      <w:pPr>
        <w:spacing w:line="240" w:lineRule="exact"/>
        <w:ind w:firstLineChars="400" w:firstLine="8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二、投資有價證券之總額不得高於本公司最近期財務報表淨值的一倍。</w:t>
      </w:r>
    </w:p>
    <w:p w:rsidR="00011C77" w:rsidRPr="00193EEF" w:rsidRDefault="00011C77" w:rsidP="00011C77">
      <w:pPr>
        <w:tabs>
          <w:tab w:val="left" w:pos="1260"/>
        </w:tabs>
        <w:spacing w:line="240" w:lineRule="exact"/>
        <w:ind w:firstLineChars="400" w:firstLine="8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三、投資個別有價證券之金額不得高於本公司最近期財務報表淨值的百分之二十五。</w:t>
      </w:r>
    </w:p>
    <w:p w:rsidR="00011C77" w:rsidRPr="00193EEF" w:rsidRDefault="00011C77" w:rsidP="00C87B3A">
      <w:pPr>
        <w:spacing w:beforeLines="50" w:before="180" w:line="240" w:lineRule="exact"/>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第七條：資料之保存</w:t>
      </w:r>
    </w:p>
    <w:p w:rsidR="00011C77" w:rsidRPr="00193EEF" w:rsidRDefault="00011C77" w:rsidP="00011C77">
      <w:pPr>
        <w:spacing w:line="240" w:lineRule="exact"/>
        <w:ind w:left="800" w:hangingChars="400" w:hanging="8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 xml:space="preserve">　　　　本公司取得或處分資產，應將相關契約、議事錄、備查簿、估價報告、會計師、律師或證券承銷商之意見書備置於本公司，除其他法律另有規定者外，至少保存五年。</w:t>
      </w:r>
    </w:p>
    <w:p w:rsidR="00011C77" w:rsidRPr="00193EEF" w:rsidRDefault="00011C77" w:rsidP="00C87B3A">
      <w:pPr>
        <w:spacing w:beforeLines="50" w:before="180" w:line="240" w:lineRule="exact"/>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第八條：資訊公開揭露程序</w:t>
      </w:r>
    </w:p>
    <w:p w:rsidR="00011C77" w:rsidRPr="00193EEF" w:rsidRDefault="00011C77" w:rsidP="00011C77">
      <w:pPr>
        <w:spacing w:line="240" w:lineRule="exact"/>
        <w:ind w:leftChars="334" w:left="1202"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一、本公司取得或處分資產，有下列情形者，應按性質依規定格式，於事實發生之即日起算二日內將相關資訊於證券主管機關指定網站辦理公司申報：</w:t>
      </w:r>
    </w:p>
    <w:p w:rsidR="00011C77" w:rsidRPr="00262658" w:rsidRDefault="00011C77" w:rsidP="00262658">
      <w:pPr>
        <w:spacing w:line="240" w:lineRule="exact"/>
        <w:ind w:leftChars="550" w:left="132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(一)向關係人取得或處分不動產</w:t>
      </w:r>
      <w:r w:rsidR="004228A9" w:rsidRPr="00C95BA4">
        <w:rPr>
          <w:rFonts w:ascii="標楷體" w:eastAsia="標楷體" w:hAnsi="標楷體" w:hint="eastAsia"/>
          <w:sz w:val="20"/>
          <w:lang w:eastAsia="zh-TW"/>
        </w:rPr>
        <w:t>或其使用權資產</w:t>
      </w:r>
      <w:r w:rsidRPr="00C95BA4">
        <w:rPr>
          <w:rFonts w:ascii="標楷體" w:eastAsia="標楷體" w:hAnsi="標楷體" w:hint="eastAsia"/>
          <w:sz w:val="20"/>
          <w:lang w:eastAsia="zh-TW"/>
        </w:rPr>
        <w:t>，或與關係人為取得或處分不動產</w:t>
      </w:r>
      <w:r w:rsidR="004228A9" w:rsidRPr="00C95BA4">
        <w:rPr>
          <w:rFonts w:ascii="標楷體" w:eastAsia="標楷體" w:hAnsi="標楷體" w:hint="eastAsia"/>
          <w:sz w:val="20"/>
          <w:lang w:eastAsia="zh-TW"/>
        </w:rPr>
        <w:t>或其使用權資產</w:t>
      </w:r>
      <w:r w:rsidRPr="00C95BA4">
        <w:rPr>
          <w:rFonts w:ascii="標楷體" w:eastAsia="標楷體" w:hAnsi="標楷體" w:hint="eastAsia"/>
          <w:sz w:val="20"/>
          <w:lang w:eastAsia="zh-TW"/>
        </w:rPr>
        <w:t>外之其他資產且交易金額達公司實收資本額百分之二十、總資產百分之十或新臺幣三億元以上。</w:t>
      </w:r>
      <w:r w:rsidR="00262658" w:rsidRPr="00C95BA4">
        <w:rPr>
          <w:rFonts w:ascii="標楷體" w:eastAsia="標楷體" w:hAnsi="標楷體" w:hint="eastAsia"/>
          <w:sz w:val="20"/>
          <w:lang w:eastAsia="zh-TW"/>
        </w:rPr>
        <w:t>除買賣國內公債</w:t>
      </w:r>
      <w:r w:rsidR="003B1A02" w:rsidRPr="000A64F4">
        <w:rPr>
          <w:rFonts w:ascii="標楷體" w:eastAsia="標楷體" w:hAnsi="標楷體"/>
          <w:color w:val="FF0000"/>
          <w:sz w:val="20"/>
        </w:rPr>
        <w:t>或信用評等不低於我國主權評等等級之外國公</w:t>
      </w:r>
      <w:r w:rsidR="003B1A02" w:rsidRPr="000A64F4">
        <w:rPr>
          <w:rFonts w:ascii="標楷體" w:eastAsia="標楷體" w:hAnsi="標楷體" w:hint="eastAsia"/>
          <w:color w:val="FF0000"/>
          <w:sz w:val="20"/>
          <w:lang w:eastAsia="zh-TW"/>
        </w:rPr>
        <w:t>債</w:t>
      </w:r>
      <w:r w:rsidRPr="00C95BA4">
        <w:rPr>
          <w:rFonts w:ascii="標楷體" w:eastAsia="標楷體" w:hAnsi="標楷體" w:hint="eastAsia"/>
          <w:sz w:val="20"/>
          <w:lang w:eastAsia="zh-TW"/>
        </w:rPr>
        <w:t>、附</w:t>
      </w:r>
      <w:r w:rsidRPr="00193EEF">
        <w:rPr>
          <w:rFonts w:ascii="標楷體" w:eastAsia="標楷體" w:hAnsi="標楷體" w:hint="eastAsia"/>
          <w:color w:val="000000"/>
          <w:sz w:val="20"/>
          <w:lang w:eastAsia="zh-TW"/>
        </w:rPr>
        <w:t>買回、賣回條件之債券、申購或贖回國內</w:t>
      </w:r>
      <w:r w:rsidRPr="00AF14E0">
        <w:rPr>
          <w:rFonts w:ascii="標楷體" w:eastAsia="標楷體" w:hAnsi="標楷體" w:hint="eastAsia"/>
          <w:color w:val="000000"/>
          <w:sz w:val="20"/>
          <w:lang w:eastAsia="zh-TW"/>
        </w:rPr>
        <w:t>證券投資信託事業發行之貨幣市場基金，不在此限。</w:t>
      </w:r>
    </w:p>
    <w:p w:rsidR="00011C77" w:rsidRPr="004228A9" w:rsidRDefault="00011C77" w:rsidP="00011C77">
      <w:pPr>
        <w:spacing w:line="240" w:lineRule="exact"/>
        <w:ind w:firstLineChars="600" w:firstLine="1200"/>
        <w:jc w:val="both"/>
        <w:rPr>
          <w:rFonts w:ascii="標楷體" w:eastAsia="標楷體" w:hAnsi="標楷體"/>
          <w:sz w:val="20"/>
          <w:lang w:eastAsia="zh-TW"/>
        </w:rPr>
      </w:pPr>
      <w:r w:rsidRPr="004228A9">
        <w:rPr>
          <w:rFonts w:ascii="標楷體" w:eastAsia="標楷體" w:hAnsi="標楷體" w:hint="eastAsia"/>
          <w:sz w:val="20"/>
          <w:lang w:eastAsia="zh-TW"/>
        </w:rPr>
        <w:t>(二)進行合併、分割、收購或股份受讓。</w:t>
      </w:r>
    </w:p>
    <w:p w:rsidR="00011C77" w:rsidRPr="004228A9" w:rsidRDefault="00011C77" w:rsidP="00011C77">
      <w:pPr>
        <w:spacing w:line="240" w:lineRule="exact"/>
        <w:ind w:leftChars="501" w:left="1602" w:hangingChars="200" w:hanging="400"/>
        <w:jc w:val="both"/>
        <w:rPr>
          <w:rFonts w:ascii="標楷體" w:eastAsia="標楷體" w:hAnsi="標楷體"/>
          <w:sz w:val="20"/>
          <w:lang w:eastAsia="zh-TW"/>
        </w:rPr>
      </w:pPr>
      <w:r w:rsidRPr="004228A9">
        <w:rPr>
          <w:rFonts w:ascii="標楷體" w:eastAsia="標楷體" w:hAnsi="標楷體" w:hint="eastAsia"/>
          <w:sz w:val="20"/>
          <w:lang w:eastAsia="zh-TW"/>
        </w:rPr>
        <w:t>(三)從事衍生性商品交易損失達所訂處理程序規定之全部或個別契約損失上限金額。</w:t>
      </w:r>
    </w:p>
    <w:p w:rsidR="00060032" w:rsidRDefault="00011C77" w:rsidP="00262658">
      <w:pPr>
        <w:spacing w:line="240" w:lineRule="exact"/>
        <w:ind w:leftChars="492" w:left="1903" w:hangingChars="361" w:hanging="722"/>
        <w:rPr>
          <w:rFonts w:ascii="標楷體" w:eastAsia="標楷體" w:hAnsi="標楷體"/>
          <w:sz w:val="20"/>
          <w:lang w:eastAsia="zh-TW"/>
        </w:rPr>
      </w:pPr>
      <w:r w:rsidRPr="004228A9">
        <w:rPr>
          <w:rFonts w:ascii="標楷體" w:eastAsia="標楷體" w:hAnsi="標楷體" w:hint="eastAsia"/>
          <w:sz w:val="20"/>
          <w:lang w:eastAsia="zh-TW"/>
        </w:rPr>
        <w:t>(四)取得或處分之資產種類屬供營業使用之設備</w:t>
      </w:r>
      <w:r w:rsidRPr="004228A9">
        <w:rPr>
          <w:rFonts w:ascii="標楷體" w:eastAsia="標楷體" w:hAnsi="標楷體" w:hint="eastAsia"/>
          <w:sz w:val="20"/>
          <w:u w:val="single"/>
          <w:lang w:eastAsia="zh-TW"/>
        </w:rPr>
        <w:t>,</w:t>
      </w:r>
      <w:r w:rsidRPr="004228A9">
        <w:rPr>
          <w:rFonts w:ascii="標楷體" w:eastAsia="標楷體" w:hAnsi="標楷體" w:hint="eastAsia"/>
          <w:sz w:val="20"/>
          <w:lang w:eastAsia="zh-TW"/>
        </w:rPr>
        <w:t>且其交易對象非為關係人</w:t>
      </w:r>
      <w:r w:rsidRPr="00060032">
        <w:rPr>
          <w:rFonts w:ascii="標楷體" w:eastAsia="標楷體" w:hAnsi="標楷體" w:hint="eastAsia"/>
          <w:sz w:val="20"/>
          <w:lang w:eastAsia="zh-TW"/>
        </w:rPr>
        <w:t>，交易金額未達</w:t>
      </w:r>
    </w:p>
    <w:p w:rsidR="00011C77" w:rsidRPr="00060032" w:rsidRDefault="00011C77" w:rsidP="00060032">
      <w:pPr>
        <w:spacing w:line="240" w:lineRule="exact"/>
        <w:ind w:leftChars="642" w:left="1963" w:hangingChars="211" w:hanging="422"/>
        <w:rPr>
          <w:rFonts w:ascii="標楷體" w:eastAsia="標楷體" w:hAnsi="標楷體"/>
          <w:sz w:val="20"/>
          <w:lang w:eastAsia="zh-TW"/>
        </w:rPr>
      </w:pPr>
      <w:r w:rsidRPr="00060032">
        <w:rPr>
          <w:rFonts w:ascii="標楷體" w:eastAsia="標楷體" w:hAnsi="標楷體" w:hint="eastAsia"/>
          <w:sz w:val="20"/>
          <w:lang w:eastAsia="zh-TW"/>
        </w:rPr>
        <w:lastRenderedPageBreak/>
        <w:t>下列規定之一:</w:t>
      </w:r>
    </w:p>
    <w:p w:rsidR="00011C77" w:rsidRPr="00262658" w:rsidRDefault="00011C77" w:rsidP="00011C77">
      <w:pPr>
        <w:pStyle w:val="HTML"/>
        <w:rPr>
          <w:rFonts w:eastAsia="標楷體"/>
          <w:color w:val="auto"/>
          <w:sz w:val="20"/>
        </w:rPr>
      </w:pPr>
      <w:r w:rsidRPr="004228A9">
        <w:rPr>
          <w:rFonts w:eastAsia="標楷體" w:hint="eastAsia"/>
          <w:color w:val="auto"/>
          <w:sz w:val="20"/>
        </w:rPr>
        <w:t xml:space="preserve">               </w:t>
      </w:r>
      <w:r w:rsidRPr="00262658">
        <w:rPr>
          <w:rFonts w:eastAsia="標楷體" w:hint="eastAsia"/>
          <w:color w:val="auto"/>
          <w:sz w:val="20"/>
        </w:rPr>
        <w:t>(1).</w:t>
      </w:r>
      <w:r w:rsidRPr="00262658">
        <w:rPr>
          <w:rFonts w:eastAsia="標楷體" w:hint="eastAsia"/>
          <w:color w:val="auto"/>
          <w:sz w:val="20"/>
        </w:rPr>
        <w:t>實收資本額未達新臺幣一百億元之公開發行公司</w:t>
      </w:r>
      <w:r w:rsidRPr="00262658">
        <w:rPr>
          <w:rFonts w:eastAsia="標楷體" w:hAnsi="新細明體" w:cs="新細明體" w:hint="eastAsia"/>
          <w:color w:val="auto"/>
          <w:sz w:val="20"/>
        </w:rPr>
        <w:t>，</w:t>
      </w:r>
      <w:r w:rsidRPr="00262658">
        <w:rPr>
          <w:rFonts w:eastAsia="標楷體" w:hint="eastAsia"/>
          <w:color w:val="auto"/>
          <w:sz w:val="20"/>
        </w:rPr>
        <w:t>交易金額達新臺幣五億元以上</w:t>
      </w:r>
      <w:r w:rsidRPr="00262658">
        <w:rPr>
          <w:rFonts w:eastAsia="標楷體" w:hAnsi="標楷體" w:cs="標楷體" w:hint="eastAsia"/>
          <w:color w:val="auto"/>
          <w:sz w:val="20"/>
        </w:rPr>
        <w:t>。</w:t>
      </w:r>
    </w:p>
    <w:p w:rsidR="00011C77" w:rsidRPr="00262658" w:rsidRDefault="00011C77" w:rsidP="004228A9">
      <w:pPr>
        <w:pStyle w:val="HTML"/>
        <w:ind w:left="1800" w:hangingChars="900" w:hanging="1800"/>
        <w:rPr>
          <w:rFonts w:eastAsia="標楷體"/>
          <w:color w:val="auto"/>
          <w:sz w:val="20"/>
        </w:rPr>
      </w:pPr>
      <w:r w:rsidRPr="00262658">
        <w:rPr>
          <w:rFonts w:eastAsia="標楷體" w:cs="標楷體" w:hint="eastAsia"/>
          <w:color w:val="auto"/>
          <w:sz w:val="20"/>
        </w:rPr>
        <w:t xml:space="preserve">               (2).</w:t>
      </w:r>
      <w:r w:rsidRPr="00262658">
        <w:rPr>
          <w:rFonts w:eastAsia="標楷體" w:hint="eastAsia"/>
          <w:color w:val="auto"/>
          <w:sz w:val="20"/>
        </w:rPr>
        <w:t>實收資本額達新臺幣一百億元以上之公開發行公司，交易金額達新臺幣十億元以上。</w:t>
      </w:r>
    </w:p>
    <w:p w:rsidR="00011C77" w:rsidRPr="00B93A9A" w:rsidRDefault="00011C77" w:rsidP="008441CB">
      <w:pPr>
        <w:spacing w:line="240" w:lineRule="exact"/>
        <w:ind w:leftChars="492" w:left="1903" w:hangingChars="361" w:hanging="722"/>
        <w:jc w:val="both"/>
        <w:rPr>
          <w:rFonts w:ascii="標楷體" w:eastAsia="標楷體" w:hAnsi="標楷體"/>
          <w:color w:val="000000"/>
          <w:sz w:val="20"/>
          <w:lang w:eastAsia="zh-TW"/>
        </w:rPr>
      </w:pPr>
      <w:r>
        <w:rPr>
          <w:rFonts w:ascii="標楷體" w:eastAsia="標楷體" w:hAnsi="標楷體" w:hint="eastAsia"/>
          <w:color w:val="000000"/>
          <w:sz w:val="20"/>
          <w:lang w:eastAsia="zh-TW"/>
        </w:rPr>
        <w:t>(五)</w:t>
      </w:r>
      <w:r w:rsidRPr="00B93A9A">
        <w:rPr>
          <w:rFonts w:ascii="標楷體" w:eastAsia="標楷體" w:hAnsi="標楷體" w:hint="eastAsia"/>
          <w:color w:val="000000"/>
          <w:sz w:val="20"/>
          <w:lang w:eastAsia="zh-TW"/>
        </w:rPr>
        <w:t>以自地委建、租地委建、合建分屋、合建分成、合建分售方式取得不動產，公司預計投入之交易金額未達新臺幣五億元以上。</w:t>
      </w:r>
    </w:p>
    <w:p w:rsidR="00011C77" w:rsidRPr="00A0737F" w:rsidRDefault="00011C77" w:rsidP="00011C77">
      <w:pPr>
        <w:spacing w:line="240" w:lineRule="exact"/>
        <w:ind w:leftChars="492" w:left="1903" w:hangingChars="361" w:hanging="722"/>
        <w:jc w:val="both"/>
        <w:rPr>
          <w:rFonts w:ascii="標楷體" w:eastAsia="標楷體" w:hAnsi="標楷體"/>
          <w:sz w:val="20"/>
          <w:lang w:eastAsia="zh-TW"/>
        </w:rPr>
      </w:pPr>
      <w:r>
        <w:rPr>
          <w:rFonts w:ascii="標楷體" w:eastAsia="標楷體" w:hAnsi="標楷體" w:hint="eastAsia"/>
          <w:color w:val="000000"/>
          <w:sz w:val="20"/>
          <w:lang w:eastAsia="zh-TW"/>
        </w:rPr>
        <w:t>(六)</w:t>
      </w:r>
      <w:r w:rsidRPr="00193EEF">
        <w:rPr>
          <w:rFonts w:ascii="標楷體" w:eastAsia="標楷體" w:hAnsi="標楷體" w:hint="eastAsia"/>
          <w:color w:val="000000"/>
          <w:sz w:val="20"/>
          <w:lang w:eastAsia="zh-TW"/>
        </w:rPr>
        <w:t>除前</w:t>
      </w:r>
      <w:r w:rsidRPr="00A0737F">
        <w:rPr>
          <w:rFonts w:ascii="標楷體" w:eastAsia="標楷體" w:hAnsi="標楷體" w:hint="eastAsia"/>
          <w:sz w:val="20"/>
          <w:lang w:eastAsia="zh-TW"/>
        </w:rPr>
        <w:t>五款以外之資產交易、金融機構處分債權或從事大陸地區投資，其交易金額達公司實收資本額百分之二十或新臺幣三億元以上者。但下列情形不在此限：</w:t>
      </w:r>
    </w:p>
    <w:p w:rsidR="00011C77" w:rsidRPr="00A0737F" w:rsidRDefault="00011C77" w:rsidP="00011C77">
      <w:pPr>
        <w:spacing w:line="240" w:lineRule="exact"/>
        <w:ind w:firstLineChars="720" w:firstLine="1440"/>
        <w:jc w:val="both"/>
        <w:rPr>
          <w:rFonts w:ascii="標楷體" w:eastAsia="標楷體" w:hAnsi="標楷體"/>
          <w:sz w:val="20"/>
          <w:lang w:eastAsia="zh-TW"/>
        </w:rPr>
      </w:pPr>
      <w:r w:rsidRPr="00A0737F">
        <w:rPr>
          <w:rFonts w:ascii="標楷體" w:eastAsia="標楷體" w:hAnsi="標楷體" w:hint="eastAsia"/>
          <w:sz w:val="20"/>
          <w:lang w:eastAsia="zh-TW"/>
        </w:rPr>
        <w:t xml:space="preserve"> (1).買賣公債。</w:t>
      </w:r>
    </w:p>
    <w:p w:rsidR="00011C77" w:rsidRPr="00A0737F" w:rsidRDefault="00011C77" w:rsidP="008441CB">
      <w:pPr>
        <w:spacing w:line="240" w:lineRule="exact"/>
        <w:ind w:leftChars="600" w:left="1902" w:hangingChars="231" w:hanging="462"/>
        <w:jc w:val="both"/>
        <w:rPr>
          <w:rFonts w:ascii="標楷體" w:eastAsia="標楷體" w:hAnsi="標楷體"/>
          <w:sz w:val="20"/>
          <w:lang w:eastAsia="zh-TW"/>
        </w:rPr>
      </w:pPr>
      <w:r w:rsidRPr="00A0737F">
        <w:rPr>
          <w:rFonts w:ascii="標楷體" w:eastAsia="標楷體" w:hAnsi="標楷體" w:hint="eastAsia"/>
          <w:sz w:val="20"/>
          <w:lang w:eastAsia="zh-TW"/>
        </w:rPr>
        <w:t xml:space="preserve"> (2).以投資為專業者，於海內外證券交易所或證券商營業處所所為之有價證券買賣、或證  券商於國內初級市場認購</w:t>
      </w:r>
      <w:r w:rsidRPr="00A0737F">
        <w:rPr>
          <w:rFonts w:ascii="標楷體" w:eastAsia="標楷體" w:hAnsi="標楷體" w:cs="標楷體" w:hint="eastAsia"/>
          <w:sz w:val="20"/>
          <w:lang w:eastAsia="zh-TW"/>
        </w:rPr>
        <w:t>募集發行之普通公司債及未涉及股權之一般金融債券</w:t>
      </w:r>
      <w:r w:rsidRPr="00A0737F">
        <w:rPr>
          <w:rFonts w:ascii="新細明體" w:hAnsi="新細明體" w:cs="新細明體" w:hint="eastAsia"/>
          <w:sz w:val="20"/>
          <w:lang w:eastAsia="zh-TW"/>
        </w:rPr>
        <w:t>，</w:t>
      </w:r>
      <w:r w:rsidRPr="00A0737F">
        <w:rPr>
          <w:rFonts w:ascii="標楷體" w:eastAsia="標楷體" w:hAnsi="標楷體" w:cs="標楷體" w:hint="eastAsia"/>
          <w:sz w:val="20"/>
          <w:lang w:eastAsia="zh-TW"/>
        </w:rPr>
        <w:t>或證  券商因承銷業務需要</w:t>
      </w:r>
      <w:r w:rsidRPr="00A0737F">
        <w:rPr>
          <w:rFonts w:ascii="新細明體" w:hAnsi="新細明體" w:cs="新細明體" w:hint="eastAsia"/>
          <w:sz w:val="20"/>
          <w:lang w:eastAsia="zh-TW"/>
        </w:rPr>
        <w:t>、</w:t>
      </w:r>
      <w:r w:rsidRPr="00A0737F">
        <w:rPr>
          <w:rFonts w:ascii="標楷體" w:eastAsia="標楷體" w:hAnsi="標楷體" w:cs="標楷體" w:hint="eastAsia"/>
          <w:sz w:val="20"/>
          <w:lang w:eastAsia="zh-TW"/>
        </w:rPr>
        <w:t>擔任興櫃公司輔導推薦證券商依財團法人中華民國證券櫃檯買賣中心</w:t>
      </w:r>
      <w:r w:rsidRPr="00A0737F">
        <w:rPr>
          <w:rFonts w:ascii="標楷體" w:eastAsia="標楷體" w:hAnsi="標楷體" w:hint="eastAsia"/>
          <w:sz w:val="20"/>
          <w:lang w:eastAsia="zh-TW"/>
        </w:rPr>
        <w:t>規定認購之有價證券。</w:t>
      </w:r>
    </w:p>
    <w:p w:rsidR="00011C77" w:rsidRPr="004228A9" w:rsidRDefault="00011C77" w:rsidP="004228A9">
      <w:pPr>
        <w:spacing w:line="240" w:lineRule="exact"/>
        <w:ind w:leftChars="680" w:left="1932" w:hangingChars="150" w:hanging="300"/>
        <w:jc w:val="both"/>
        <w:rPr>
          <w:rFonts w:ascii="標楷體" w:eastAsia="標楷體" w:hAnsi="標楷體"/>
          <w:sz w:val="20"/>
          <w:u w:val="single"/>
          <w:lang w:eastAsia="zh-TW"/>
        </w:rPr>
      </w:pPr>
      <w:r w:rsidRPr="00A0737F">
        <w:rPr>
          <w:rFonts w:ascii="標楷體" w:eastAsia="標楷體" w:hAnsi="標楷體" w:cs="標楷體" w:hint="eastAsia"/>
          <w:sz w:val="20"/>
          <w:lang w:eastAsia="zh-TW"/>
        </w:rPr>
        <w:t>(3)</w:t>
      </w:r>
      <w:r w:rsidRPr="00A0737F">
        <w:rPr>
          <w:rFonts w:ascii="標楷體" w:eastAsia="標楷體" w:hAnsi="標楷體" w:hint="eastAsia"/>
          <w:sz w:val="20"/>
          <w:lang w:eastAsia="zh-TW"/>
        </w:rPr>
        <w:t>買賣附買回、賣回條件之債券、申購或贖回國內</w:t>
      </w:r>
      <w:r w:rsidRPr="00A0737F">
        <w:rPr>
          <w:rFonts w:ascii="標楷體" w:eastAsia="標楷體" w:hAnsi="標楷體" w:cs="標楷體" w:hint="eastAsia"/>
          <w:sz w:val="20"/>
          <w:lang w:eastAsia="zh-TW"/>
        </w:rPr>
        <w:t>證券投資信託事業發行之</w:t>
      </w:r>
      <w:r w:rsidRPr="00A0737F">
        <w:rPr>
          <w:rFonts w:ascii="標楷體" w:eastAsia="標楷體" w:hAnsi="標楷體" w:hint="eastAsia"/>
          <w:sz w:val="20"/>
          <w:lang w:eastAsia="zh-TW"/>
        </w:rPr>
        <w:t>貨幣</w:t>
      </w:r>
      <w:r w:rsidRPr="004228A9">
        <w:rPr>
          <w:rFonts w:ascii="標楷體" w:eastAsia="標楷體" w:hAnsi="標楷體" w:hint="eastAsia"/>
          <w:sz w:val="20"/>
          <w:lang w:eastAsia="zh-TW"/>
        </w:rPr>
        <w:t>市場基金。</w:t>
      </w:r>
    </w:p>
    <w:p w:rsidR="00011C77" w:rsidRPr="00193EEF" w:rsidRDefault="00011C77" w:rsidP="00011C77">
      <w:pPr>
        <w:spacing w:line="240" w:lineRule="exact"/>
        <w:ind w:leftChars="501" w:left="1602" w:hangingChars="200" w:hanging="400"/>
        <w:jc w:val="both"/>
        <w:rPr>
          <w:rFonts w:ascii="標楷體" w:eastAsia="標楷體" w:hAnsi="標楷體"/>
          <w:color w:val="000000"/>
          <w:sz w:val="20"/>
          <w:lang w:eastAsia="zh-TW"/>
        </w:rPr>
      </w:pPr>
      <w:r>
        <w:rPr>
          <w:rFonts w:ascii="標楷體" w:eastAsia="標楷體" w:hAnsi="標楷體" w:hint="eastAsia"/>
          <w:color w:val="000000"/>
          <w:sz w:val="20"/>
          <w:lang w:eastAsia="zh-TW"/>
        </w:rPr>
        <w:t>(七)</w:t>
      </w:r>
      <w:r w:rsidRPr="00193EEF">
        <w:rPr>
          <w:rFonts w:ascii="標楷體" w:eastAsia="標楷體" w:hAnsi="標楷體" w:hint="eastAsia"/>
          <w:color w:val="000000"/>
          <w:sz w:val="20"/>
          <w:lang w:eastAsia="zh-TW"/>
        </w:rPr>
        <w:t xml:space="preserve">前述交易金額之計算方式如下， </w:t>
      </w:r>
    </w:p>
    <w:p w:rsidR="00011C77" w:rsidRPr="00193EEF" w:rsidRDefault="00011C77" w:rsidP="00011C77">
      <w:pPr>
        <w:spacing w:line="240" w:lineRule="exact"/>
        <w:ind w:firstLineChars="720" w:firstLine="1440"/>
        <w:jc w:val="both"/>
        <w:rPr>
          <w:rFonts w:ascii="標楷體" w:eastAsia="標楷體" w:hAnsi="標楷體"/>
          <w:color w:val="000000"/>
          <w:sz w:val="20"/>
          <w:lang w:eastAsia="zh-TW"/>
        </w:rPr>
      </w:pPr>
      <w:r>
        <w:rPr>
          <w:rFonts w:ascii="標楷體" w:eastAsia="標楷體" w:hAnsi="標楷體" w:hint="eastAsia"/>
          <w:color w:val="000000"/>
          <w:sz w:val="20"/>
          <w:lang w:eastAsia="zh-TW"/>
        </w:rPr>
        <w:t xml:space="preserve"> (</w:t>
      </w:r>
      <w:r w:rsidRPr="00193EEF">
        <w:rPr>
          <w:rFonts w:ascii="標楷體" w:eastAsia="標楷體" w:hAnsi="標楷體" w:hint="eastAsia"/>
          <w:color w:val="000000"/>
          <w:sz w:val="20"/>
          <w:lang w:eastAsia="zh-TW"/>
        </w:rPr>
        <w:t>1</w:t>
      </w:r>
      <w:r>
        <w:rPr>
          <w:rFonts w:ascii="標楷體" w:eastAsia="標楷體" w:hAnsi="標楷體" w:hint="eastAsia"/>
          <w:color w:val="000000"/>
          <w:sz w:val="20"/>
          <w:lang w:eastAsia="zh-TW"/>
        </w:rPr>
        <w:t>)</w:t>
      </w:r>
      <w:r w:rsidRPr="00193EEF">
        <w:rPr>
          <w:rFonts w:ascii="標楷體" w:eastAsia="標楷體" w:hAnsi="標楷體" w:hint="eastAsia"/>
          <w:color w:val="000000"/>
          <w:sz w:val="20"/>
          <w:lang w:eastAsia="zh-TW"/>
        </w:rPr>
        <w:t>.每筆交易金額。</w:t>
      </w:r>
    </w:p>
    <w:p w:rsidR="00011C77" w:rsidRPr="00193EEF" w:rsidRDefault="00011C77" w:rsidP="00011C77">
      <w:pPr>
        <w:spacing w:line="240" w:lineRule="exact"/>
        <w:ind w:firstLineChars="770" w:firstLine="1540"/>
        <w:jc w:val="both"/>
        <w:rPr>
          <w:rFonts w:ascii="標楷體" w:eastAsia="標楷體" w:hAnsi="標楷體"/>
          <w:color w:val="000000"/>
          <w:sz w:val="20"/>
          <w:lang w:eastAsia="zh-TW"/>
        </w:rPr>
      </w:pPr>
      <w:r>
        <w:rPr>
          <w:rFonts w:ascii="標楷體" w:eastAsia="標楷體" w:hAnsi="標楷體" w:hint="eastAsia"/>
          <w:color w:val="000000"/>
          <w:sz w:val="20"/>
          <w:lang w:eastAsia="zh-TW"/>
        </w:rPr>
        <w:t>(</w:t>
      </w:r>
      <w:r w:rsidRPr="00193EEF">
        <w:rPr>
          <w:rFonts w:ascii="標楷體" w:eastAsia="標楷體" w:hAnsi="標楷體" w:hint="eastAsia"/>
          <w:color w:val="000000"/>
          <w:sz w:val="20"/>
          <w:lang w:eastAsia="zh-TW"/>
        </w:rPr>
        <w:t>2</w:t>
      </w:r>
      <w:r>
        <w:rPr>
          <w:rFonts w:ascii="標楷體" w:eastAsia="標楷體" w:hAnsi="標楷體" w:hint="eastAsia"/>
          <w:color w:val="000000"/>
          <w:sz w:val="20"/>
          <w:lang w:eastAsia="zh-TW"/>
        </w:rPr>
        <w:t>)</w:t>
      </w:r>
      <w:r w:rsidRPr="00193EEF">
        <w:rPr>
          <w:rFonts w:ascii="標楷體" w:eastAsia="標楷體" w:hAnsi="標楷體" w:hint="eastAsia"/>
          <w:color w:val="000000"/>
          <w:sz w:val="20"/>
          <w:lang w:eastAsia="zh-TW"/>
        </w:rPr>
        <w:t>.一年內累積與同一相對人取得或處分同一性質標的交易之金額。</w:t>
      </w:r>
    </w:p>
    <w:p w:rsidR="00011C77" w:rsidRPr="00193EEF" w:rsidRDefault="00011C77" w:rsidP="00011C77">
      <w:pPr>
        <w:spacing w:line="240" w:lineRule="exact"/>
        <w:ind w:firstLineChars="770" w:firstLine="1540"/>
        <w:jc w:val="both"/>
        <w:rPr>
          <w:rFonts w:ascii="標楷體" w:eastAsia="標楷體" w:hAnsi="標楷體"/>
          <w:color w:val="000000"/>
          <w:sz w:val="20"/>
          <w:lang w:eastAsia="zh-TW"/>
        </w:rPr>
      </w:pPr>
      <w:r>
        <w:rPr>
          <w:rFonts w:ascii="標楷體" w:eastAsia="標楷體" w:hAnsi="標楷體" w:hint="eastAsia"/>
          <w:color w:val="000000"/>
          <w:sz w:val="20"/>
          <w:lang w:eastAsia="zh-TW"/>
        </w:rPr>
        <w:t>(</w:t>
      </w:r>
      <w:r w:rsidRPr="00193EEF">
        <w:rPr>
          <w:rFonts w:ascii="標楷體" w:eastAsia="標楷體" w:hAnsi="標楷體" w:hint="eastAsia"/>
          <w:color w:val="000000"/>
          <w:sz w:val="20"/>
          <w:lang w:eastAsia="zh-TW"/>
        </w:rPr>
        <w:t>3</w:t>
      </w:r>
      <w:r>
        <w:rPr>
          <w:rFonts w:ascii="標楷體" w:eastAsia="標楷體" w:hAnsi="標楷體" w:hint="eastAsia"/>
          <w:color w:val="000000"/>
          <w:sz w:val="20"/>
          <w:lang w:eastAsia="zh-TW"/>
        </w:rPr>
        <w:t>)</w:t>
      </w:r>
      <w:r w:rsidRPr="00193EEF">
        <w:rPr>
          <w:rFonts w:ascii="標楷體" w:eastAsia="標楷體" w:hAnsi="標楷體" w:hint="eastAsia"/>
          <w:color w:val="000000"/>
          <w:sz w:val="20"/>
          <w:lang w:eastAsia="zh-TW"/>
        </w:rPr>
        <w:t>.一年內累積取得或處分</w:t>
      </w:r>
      <w:r w:rsidRPr="00193EEF">
        <w:rPr>
          <w:rFonts w:ascii="標楷體" w:eastAsia="標楷體" w:hAnsi="標楷體"/>
          <w:color w:val="000000"/>
          <w:sz w:val="20"/>
          <w:lang w:eastAsia="zh-TW"/>
        </w:rPr>
        <w:t>(</w:t>
      </w:r>
      <w:r w:rsidRPr="00193EEF">
        <w:rPr>
          <w:rFonts w:ascii="標楷體" w:eastAsia="標楷體" w:hAnsi="標楷體" w:hint="eastAsia"/>
          <w:color w:val="000000"/>
          <w:sz w:val="20"/>
          <w:lang w:eastAsia="zh-TW"/>
        </w:rPr>
        <w:t>取得、處分分別累積</w:t>
      </w:r>
      <w:r w:rsidRPr="00193EEF">
        <w:rPr>
          <w:rFonts w:ascii="標楷體" w:eastAsia="標楷體" w:hAnsi="標楷體"/>
          <w:color w:val="000000"/>
          <w:sz w:val="20"/>
          <w:lang w:eastAsia="zh-TW"/>
        </w:rPr>
        <w:t>)</w:t>
      </w:r>
      <w:r w:rsidRPr="00193EEF">
        <w:rPr>
          <w:rFonts w:ascii="標楷體" w:eastAsia="標楷體" w:hAnsi="標楷體" w:hint="eastAsia"/>
          <w:color w:val="000000"/>
          <w:sz w:val="20"/>
          <w:lang w:eastAsia="zh-TW"/>
        </w:rPr>
        <w:t>同一開發計畫不動產之金額。</w:t>
      </w:r>
    </w:p>
    <w:p w:rsidR="00011C77" w:rsidRPr="00193EEF" w:rsidRDefault="00011C77" w:rsidP="00011C77">
      <w:pPr>
        <w:spacing w:line="240" w:lineRule="exact"/>
        <w:ind w:firstLineChars="770" w:firstLine="1540"/>
        <w:jc w:val="both"/>
        <w:rPr>
          <w:rFonts w:ascii="標楷體" w:eastAsia="標楷體" w:hAnsi="標楷體"/>
          <w:color w:val="000000"/>
          <w:sz w:val="20"/>
          <w:lang w:eastAsia="zh-TW"/>
        </w:rPr>
      </w:pPr>
      <w:r>
        <w:rPr>
          <w:rFonts w:ascii="標楷體" w:eastAsia="標楷體" w:hAnsi="標楷體" w:hint="eastAsia"/>
          <w:color w:val="000000"/>
          <w:sz w:val="20"/>
          <w:lang w:eastAsia="zh-TW"/>
        </w:rPr>
        <w:t>(</w:t>
      </w:r>
      <w:r w:rsidRPr="00193EEF">
        <w:rPr>
          <w:rFonts w:ascii="標楷體" w:eastAsia="標楷體" w:hAnsi="標楷體" w:hint="eastAsia"/>
          <w:color w:val="000000"/>
          <w:sz w:val="20"/>
          <w:lang w:eastAsia="zh-TW"/>
        </w:rPr>
        <w:t>4</w:t>
      </w:r>
      <w:r>
        <w:rPr>
          <w:rFonts w:ascii="標楷體" w:eastAsia="標楷體" w:hAnsi="標楷體" w:hint="eastAsia"/>
          <w:color w:val="000000"/>
          <w:sz w:val="20"/>
          <w:lang w:eastAsia="zh-TW"/>
        </w:rPr>
        <w:t>)</w:t>
      </w:r>
      <w:r w:rsidRPr="00193EEF">
        <w:rPr>
          <w:rFonts w:ascii="標楷體" w:eastAsia="標楷體" w:hAnsi="標楷體" w:hint="eastAsia"/>
          <w:color w:val="000000"/>
          <w:sz w:val="20"/>
          <w:lang w:eastAsia="zh-TW"/>
        </w:rPr>
        <w:t>.一年內累積取得或處分</w:t>
      </w:r>
      <w:r w:rsidRPr="00193EEF">
        <w:rPr>
          <w:rFonts w:ascii="標楷體" w:eastAsia="標楷體" w:hAnsi="標楷體"/>
          <w:color w:val="000000"/>
          <w:sz w:val="20"/>
          <w:lang w:eastAsia="zh-TW"/>
        </w:rPr>
        <w:t>(</w:t>
      </w:r>
      <w:r w:rsidRPr="00193EEF">
        <w:rPr>
          <w:rFonts w:ascii="標楷體" w:eastAsia="標楷體" w:hAnsi="標楷體" w:hint="eastAsia"/>
          <w:color w:val="000000"/>
          <w:sz w:val="20"/>
          <w:lang w:eastAsia="zh-TW"/>
        </w:rPr>
        <w:t>取得、處分分別累積</w:t>
      </w:r>
      <w:r w:rsidRPr="00193EEF">
        <w:rPr>
          <w:rFonts w:ascii="標楷體" w:eastAsia="標楷體" w:hAnsi="標楷體"/>
          <w:color w:val="000000"/>
          <w:sz w:val="20"/>
          <w:lang w:eastAsia="zh-TW"/>
        </w:rPr>
        <w:t>)</w:t>
      </w:r>
      <w:r w:rsidRPr="00193EEF">
        <w:rPr>
          <w:rFonts w:ascii="標楷體" w:eastAsia="標楷體" w:hAnsi="標楷體" w:hint="eastAsia"/>
          <w:color w:val="000000"/>
          <w:sz w:val="20"/>
          <w:lang w:eastAsia="zh-TW"/>
        </w:rPr>
        <w:t>同一有價證券之金額。</w:t>
      </w:r>
    </w:p>
    <w:p w:rsidR="00011C77" w:rsidRDefault="00011C77" w:rsidP="00011C77">
      <w:pPr>
        <w:spacing w:line="240" w:lineRule="exact"/>
        <w:ind w:firstLineChars="630" w:firstLine="126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上項所稱一年內係以本次交易事實發生之日為基準，往前追溯推算一年，已依本準則規定</w:t>
      </w:r>
    </w:p>
    <w:p w:rsidR="00011C77" w:rsidRPr="00193EEF" w:rsidRDefault="00011C77" w:rsidP="00011C77">
      <w:pPr>
        <w:spacing w:line="240" w:lineRule="exact"/>
        <w:ind w:firstLineChars="630" w:firstLine="126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公告部分免再計入。</w:t>
      </w:r>
    </w:p>
    <w:p w:rsidR="00011C77" w:rsidRPr="00193EEF" w:rsidRDefault="00011C77" w:rsidP="00011C77">
      <w:pPr>
        <w:pStyle w:val="3"/>
        <w:spacing w:line="240" w:lineRule="exact"/>
        <w:ind w:leftChars="342" w:left="1261" w:hangingChars="220" w:hanging="440"/>
        <w:rPr>
          <w:rFonts w:ascii="標楷體" w:eastAsia="標楷體" w:hAnsi="標楷體"/>
          <w:color w:val="000000"/>
          <w:sz w:val="20"/>
          <w:lang w:eastAsia="zh-TW"/>
        </w:rPr>
      </w:pPr>
      <w:r w:rsidRPr="00193EEF">
        <w:rPr>
          <w:rFonts w:ascii="標楷體" w:eastAsia="標楷體" w:hAnsi="標楷體" w:hint="eastAsia"/>
          <w:color w:val="000000"/>
          <w:sz w:val="20"/>
          <w:lang w:eastAsia="zh-TW"/>
        </w:rPr>
        <w:t>二、本公司應按月將本公司及非屬國內公開發行之子公司截至上月底止從事衍生性商品交易之情形依規定格式，於每月十日前輸入證券主管機關指定之資訊申報網站。</w:t>
      </w:r>
    </w:p>
    <w:p w:rsidR="00011C77" w:rsidRPr="00262658" w:rsidRDefault="00011C77" w:rsidP="00011C77">
      <w:pPr>
        <w:pStyle w:val="3"/>
        <w:spacing w:line="240" w:lineRule="exact"/>
        <w:ind w:leftChars="342" w:left="1261" w:hangingChars="220" w:hanging="440"/>
        <w:rPr>
          <w:rFonts w:ascii="標楷體" w:eastAsia="標楷體" w:hAnsi="標楷體"/>
          <w:sz w:val="20"/>
          <w:lang w:eastAsia="zh-TW"/>
        </w:rPr>
      </w:pPr>
      <w:r w:rsidRPr="00193EEF">
        <w:rPr>
          <w:rFonts w:ascii="標楷體" w:eastAsia="標楷體" w:hAnsi="標楷體" w:hint="eastAsia"/>
          <w:color w:val="000000"/>
          <w:sz w:val="20"/>
          <w:lang w:eastAsia="zh-TW"/>
        </w:rPr>
        <w:t>三、本公司依規定應公告項目如於公告時有錯誤或缺漏而應予補正時，</w:t>
      </w:r>
      <w:r w:rsidRPr="00262658">
        <w:rPr>
          <w:rFonts w:ascii="標楷體" w:eastAsia="標楷體" w:hAnsi="標楷體" w:hint="eastAsia"/>
          <w:sz w:val="20"/>
          <w:lang w:eastAsia="zh-TW"/>
        </w:rPr>
        <w:t>應</w:t>
      </w:r>
      <w:r w:rsidRPr="00262658">
        <w:rPr>
          <w:rFonts w:ascii="標楷體" w:eastAsia="標楷體" w:hAnsi="標楷體" w:cs="標楷體" w:hint="eastAsia"/>
          <w:sz w:val="20"/>
          <w:lang w:eastAsia="zh-TW"/>
        </w:rPr>
        <w:t>於知悉之即日起算二日</w:t>
      </w:r>
      <w:r w:rsidRPr="00262658">
        <w:rPr>
          <w:rFonts w:ascii="標楷體" w:eastAsia="標楷體" w:hAnsi="標楷體" w:hint="eastAsia"/>
          <w:sz w:val="20"/>
          <w:lang w:eastAsia="zh-TW"/>
        </w:rPr>
        <w:t>將全部項目重行公告申報。</w:t>
      </w:r>
    </w:p>
    <w:p w:rsidR="00011C77" w:rsidRPr="00262658" w:rsidRDefault="00011C77" w:rsidP="00011C77">
      <w:pPr>
        <w:pStyle w:val="3"/>
        <w:spacing w:line="240" w:lineRule="exact"/>
        <w:ind w:leftChars="342" w:left="1261" w:hangingChars="220" w:hanging="440"/>
        <w:rPr>
          <w:rFonts w:ascii="標楷體" w:eastAsia="標楷體" w:hAnsi="標楷體"/>
          <w:color w:val="000000"/>
          <w:sz w:val="20"/>
          <w:lang w:eastAsia="zh-TW"/>
        </w:rPr>
      </w:pPr>
      <w:r w:rsidRPr="00262658">
        <w:rPr>
          <w:rFonts w:ascii="標楷體" w:eastAsia="標楷體" w:hAnsi="標楷體" w:hint="eastAsia"/>
          <w:sz w:val="20"/>
          <w:lang w:eastAsia="zh-TW"/>
        </w:rPr>
        <w:t>四、本公司依上述規定公告申報之交易後，有下列情形之一者，應於事實</w:t>
      </w:r>
      <w:r w:rsidRPr="00262658">
        <w:rPr>
          <w:rFonts w:ascii="標楷體" w:eastAsia="標楷體" w:hAnsi="標楷體" w:hint="eastAsia"/>
          <w:color w:val="000000"/>
          <w:sz w:val="20"/>
          <w:lang w:eastAsia="zh-TW"/>
        </w:rPr>
        <w:t>發生之即日起算二日內將相關資訊於證券主管機關指定網站辦理公告申報：</w:t>
      </w:r>
    </w:p>
    <w:p w:rsidR="00011C77" w:rsidRPr="00193EEF" w:rsidRDefault="00011C77" w:rsidP="00011C77">
      <w:pPr>
        <w:spacing w:line="240" w:lineRule="exact"/>
        <w:ind w:firstLineChars="630" w:firstLine="126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w:t>
      </w:r>
      <w:r w:rsidRPr="00193EEF">
        <w:rPr>
          <w:rFonts w:ascii="標楷體" w:eastAsia="標楷體" w:hAnsi="標楷體"/>
          <w:color w:val="000000"/>
          <w:sz w:val="20"/>
          <w:lang w:eastAsia="zh-TW"/>
        </w:rPr>
        <w:t>1</w:t>
      </w:r>
      <w:r w:rsidRPr="00193EEF">
        <w:rPr>
          <w:rFonts w:ascii="標楷體" w:eastAsia="標楷體" w:hAnsi="標楷體" w:hint="eastAsia"/>
          <w:color w:val="000000"/>
          <w:sz w:val="20"/>
          <w:lang w:eastAsia="zh-TW"/>
        </w:rPr>
        <w:t>)原交易簽訂之相關契約有變更、終止或解除情事。</w:t>
      </w:r>
    </w:p>
    <w:p w:rsidR="00011C77" w:rsidRPr="00193EEF" w:rsidRDefault="00011C77" w:rsidP="00011C77">
      <w:pPr>
        <w:pStyle w:val="3"/>
        <w:spacing w:line="240" w:lineRule="exact"/>
        <w:ind w:leftChars="526" w:left="1264" w:hangingChars="1" w:hanging="2"/>
        <w:rPr>
          <w:rFonts w:ascii="標楷體" w:eastAsia="標楷體" w:hAnsi="標楷體"/>
          <w:color w:val="000000"/>
          <w:sz w:val="20"/>
          <w:lang w:eastAsia="zh-TW"/>
        </w:rPr>
      </w:pPr>
      <w:r w:rsidRPr="00193EEF">
        <w:rPr>
          <w:rFonts w:ascii="標楷體" w:eastAsia="標楷體" w:hAnsi="標楷體" w:hint="eastAsia"/>
          <w:color w:val="000000"/>
          <w:sz w:val="20"/>
          <w:lang w:eastAsia="zh-TW"/>
        </w:rPr>
        <w:t>(</w:t>
      </w:r>
      <w:r w:rsidRPr="00193EEF">
        <w:rPr>
          <w:rFonts w:ascii="標楷體" w:eastAsia="標楷體" w:hAnsi="標楷體"/>
          <w:color w:val="000000"/>
          <w:sz w:val="20"/>
          <w:lang w:eastAsia="zh-TW"/>
        </w:rPr>
        <w:t>2</w:t>
      </w:r>
      <w:r w:rsidRPr="00193EEF">
        <w:rPr>
          <w:rFonts w:ascii="標楷體" w:eastAsia="標楷體" w:hAnsi="標楷體" w:hint="eastAsia"/>
          <w:color w:val="000000"/>
          <w:sz w:val="20"/>
          <w:lang w:eastAsia="zh-TW"/>
        </w:rPr>
        <w:t>)合併、分割、收購或股份受讓未依契約預定日程完成。</w:t>
      </w:r>
    </w:p>
    <w:p w:rsidR="00011C77" w:rsidRPr="00193EEF" w:rsidRDefault="00011C77" w:rsidP="00011C77">
      <w:pPr>
        <w:pStyle w:val="3"/>
        <w:spacing w:line="240" w:lineRule="exact"/>
        <w:ind w:leftChars="526" w:left="1264" w:hangingChars="1" w:hanging="2"/>
        <w:rPr>
          <w:rFonts w:ascii="標楷體" w:eastAsia="標楷體" w:hAnsi="標楷體"/>
          <w:color w:val="000000"/>
          <w:sz w:val="20"/>
          <w:lang w:eastAsia="zh-TW"/>
        </w:rPr>
      </w:pPr>
      <w:r w:rsidRPr="00193EEF">
        <w:rPr>
          <w:rFonts w:ascii="標楷體" w:eastAsia="標楷體" w:hAnsi="標楷體" w:hint="eastAsia"/>
          <w:color w:val="000000"/>
          <w:sz w:val="20"/>
          <w:lang w:eastAsia="zh-TW"/>
        </w:rPr>
        <w:t>(3)原公告申報內容有變更。</w:t>
      </w:r>
    </w:p>
    <w:p w:rsidR="00011C77" w:rsidRPr="00193EEF" w:rsidRDefault="00011C77" w:rsidP="00C87B3A">
      <w:pPr>
        <w:spacing w:beforeLines="50" w:before="180" w:line="240" w:lineRule="exact"/>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第九條：本公司之子公司應依下列規定辦理：</w:t>
      </w:r>
    </w:p>
    <w:p w:rsidR="00011C77" w:rsidRPr="00193EEF" w:rsidRDefault="00011C77" w:rsidP="00011C77">
      <w:pPr>
        <w:spacing w:line="240" w:lineRule="exact"/>
        <w:ind w:leftChars="334" w:left="1202"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一、本公司應督促子公司依照「公開發行公司取得或處分資產處理準則」有關規定訂定並執行「取得或處分資產處理程序」，並經子公司董事會通過，修正時亦同。</w:t>
      </w:r>
    </w:p>
    <w:p w:rsidR="00011C77" w:rsidRPr="00193EEF" w:rsidRDefault="00011C77" w:rsidP="00011C77">
      <w:pPr>
        <w:spacing w:line="240" w:lineRule="exact"/>
        <w:ind w:firstLineChars="400" w:firstLine="8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二、本公司之子公司取得或處分資產時，亦應依本公司規定辦理。</w:t>
      </w:r>
    </w:p>
    <w:p w:rsidR="00011C77" w:rsidRPr="00193EEF" w:rsidRDefault="00011C77" w:rsidP="00011C77">
      <w:pPr>
        <w:spacing w:line="240" w:lineRule="exact"/>
        <w:ind w:leftChars="334" w:left="1202"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三、本公司之子公司非屬國內公開發行公司者，取得或處分資產有第八條規定應公告申報情事者，由本公司辦理公告申報事宜。</w:t>
      </w:r>
    </w:p>
    <w:p w:rsidR="00011C77" w:rsidRPr="00193EEF" w:rsidRDefault="00011C77" w:rsidP="00011C77">
      <w:pPr>
        <w:spacing w:line="240" w:lineRule="exact"/>
        <w:ind w:leftChars="334" w:left="1202"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四、子公司之公告申報標準中，所稱「達公司實收資本額百分之二十或總資產百分之十」係以母(本)公司之實收資本額或總資產為準。</w:t>
      </w:r>
    </w:p>
    <w:p w:rsidR="00011C77" w:rsidRPr="00193EEF" w:rsidRDefault="00011C77" w:rsidP="00011C77">
      <w:pPr>
        <w:spacing w:line="240" w:lineRule="exact"/>
        <w:ind w:leftChars="334" w:left="1202"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五、本處理程序有關總資產百分之十之規定，以證券發行人財務報告編制準則規定之最近期個體或個別財務報告中之總資產金額計算。</w:t>
      </w:r>
    </w:p>
    <w:p w:rsidR="00011C77" w:rsidRPr="00193EEF" w:rsidRDefault="00011C77" w:rsidP="00011C77">
      <w:pPr>
        <w:spacing w:line="240" w:lineRule="exact"/>
        <w:ind w:leftChars="334" w:left="1202"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六、公司股票無面額或每股面額非屬新臺幣十元者，本處理程序有關實收資本額百分之二十之交易金額規定，以歸屬於母公司業主之權益百分之十計算之。</w:t>
      </w:r>
    </w:p>
    <w:p w:rsidR="00011C77" w:rsidRPr="00193EEF" w:rsidRDefault="00011C77" w:rsidP="00C87B3A">
      <w:pPr>
        <w:spacing w:beforeLines="50" w:before="180" w:line="240" w:lineRule="exact"/>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第十條：罰則</w:t>
      </w:r>
    </w:p>
    <w:p w:rsidR="00011C77" w:rsidRPr="00193EEF" w:rsidRDefault="00011C77" w:rsidP="00011C77">
      <w:pPr>
        <w:pStyle w:val="20"/>
        <w:spacing w:line="240" w:lineRule="exact"/>
        <w:ind w:leftChars="334" w:left="802"/>
        <w:rPr>
          <w:color w:val="000000"/>
          <w:sz w:val="20"/>
          <w:lang w:eastAsia="zh-TW"/>
        </w:rPr>
      </w:pPr>
      <w:r w:rsidRPr="00193EEF">
        <w:rPr>
          <w:rFonts w:hint="eastAsia"/>
          <w:color w:val="000000"/>
          <w:sz w:val="20"/>
          <w:lang w:eastAsia="zh-TW"/>
        </w:rPr>
        <w:t>本公司員工承辦取得與處分資產違反本處理程序規定者，依照本公司人事規章與員工手冊定期提報考核，依其情節輕重處罰。</w:t>
      </w:r>
    </w:p>
    <w:p w:rsidR="00011C77" w:rsidRPr="00193EEF" w:rsidRDefault="00011C77" w:rsidP="00011C77">
      <w:pPr>
        <w:spacing w:line="240" w:lineRule="exact"/>
        <w:jc w:val="both"/>
        <w:rPr>
          <w:rFonts w:ascii="標楷體" w:eastAsia="標楷體" w:hAnsi="標楷體"/>
          <w:color w:val="000000"/>
          <w:sz w:val="20"/>
          <w:lang w:eastAsia="zh-TW"/>
        </w:rPr>
      </w:pPr>
    </w:p>
    <w:p w:rsidR="00011C77" w:rsidRPr="00193EEF" w:rsidRDefault="00011C77" w:rsidP="00011C77">
      <w:pPr>
        <w:spacing w:line="240" w:lineRule="exact"/>
        <w:ind w:left="800" w:hangingChars="400" w:hanging="800"/>
        <w:jc w:val="center"/>
        <w:rPr>
          <w:rFonts w:ascii="標楷體" w:eastAsia="標楷體" w:hAnsi="標楷體"/>
          <w:color w:val="000000"/>
          <w:sz w:val="20"/>
          <w:lang w:eastAsia="zh-TW"/>
        </w:rPr>
      </w:pPr>
      <w:r w:rsidRPr="00193EEF">
        <w:rPr>
          <w:rFonts w:ascii="標楷體" w:eastAsia="標楷體" w:hAnsi="標楷體" w:hint="eastAsia"/>
          <w:color w:val="000000"/>
          <w:sz w:val="20"/>
          <w:lang w:eastAsia="zh-TW"/>
        </w:rPr>
        <w:t>第二章  關係人交易</w:t>
      </w:r>
    </w:p>
    <w:p w:rsidR="00011C77" w:rsidRPr="00193EEF" w:rsidRDefault="00011C77" w:rsidP="00C87B3A">
      <w:pPr>
        <w:pStyle w:val="a3"/>
        <w:spacing w:beforeLines="50" w:before="180" w:line="240" w:lineRule="exact"/>
        <w:rPr>
          <w:rFonts w:ascii="標楷體" w:eastAsia="標楷體" w:hAnsi="標楷體"/>
          <w:color w:val="000000"/>
          <w:sz w:val="20"/>
          <w:lang w:eastAsia="zh-TW"/>
        </w:rPr>
      </w:pPr>
      <w:r w:rsidRPr="00193EEF">
        <w:rPr>
          <w:rFonts w:ascii="標楷體" w:eastAsia="標楷體" w:hAnsi="標楷體" w:hint="eastAsia"/>
          <w:color w:val="000000"/>
          <w:sz w:val="20"/>
          <w:lang w:eastAsia="zh-TW"/>
        </w:rPr>
        <w:t>第十一條：認定依據</w:t>
      </w:r>
    </w:p>
    <w:p w:rsidR="00011C77" w:rsidRPr="00193EEF" w:rsidRDefault="00011C77" w:rsidP="00011C77">
      <w:pPr>
        <w:pStyle w:val="a3"/>
        <w:spacing w:line="240" w:lineRule="exact"/>
        <w:ind w:left="1000" w:hangingChars="500" w:hanging="1000"/>
        <w:rPr>
          <w:rFonts w:ascii="標楷體" w:eastAsia="標楷體" w:hAnsi="標楷體"/>
          <w:color w:val="000000"/>
          <w:sz w:val="20"/>
          <w:lang w:eastAsia="zh-TW"/>
        </w:rPr>
      </w:pPr>
      <w:r w:rsidRPr="00193EEF">
        <w:rPr>
          <w:rFonts w:ascii="標楷體" w:eastAsia="標楷體" w:hAnsi="標楷體" w:hint="eastAsia"/>
          <w:color w:val="000000"/>
          <w:sz w:val="20"/>
          <w:lang w:eastAsia="zh-TW"/>
        </w:rPr>
        <w:t xml:space="preserve">          本公司與關係人取得或處分資產</w:t>
      </w:r>
      <w:r w:rsidR="00E10722" w:rsidRPr="00C95BA4">
        <w:rPr>
          <w:rFonts w:ascii="標楷體" w:eastAsia="標楷體" w:hAnsi="標楷體" w:cs="微軟正黑體"/>
          <w:sz w:val="20"/>
        </w:rPr>
        <w:t>或其使用權資產</w:t>
      </w:r>
      <w:r w:rsidRPr="00193EEF">
        <w:rPr>
          <w:rFonts w:ascii="標楷體" w:eastAsia="標楷體" w:hAnsi="標楷體" w:hint="eastAsia"/>
          <w:color w:val="000000"/>
          <w:sz w:val="20"/>
          <w:lang w:eastAsia="zh-TW"/>
        </w:rPr>
        <w:t>，除應依前章及本章規定辦理相關決議程序及評估交易條件合理性等事項外，交易金額達公司總資產百分之十以上者，亦應依前節規定取得專業估價者出具之估價報告或會計師意見。</w:t>
      </w:r>
    </w:p>
    <w:p w:rsidR="00011C77" w:rsidRPr="00193EEF" w:rsidRDefault="00011C77" w:rsidP="00011C77">
      <w:pPr>
        <w:pStyle w:val="a3"/>
        <w:spacing w:line="240" w:lineRule="exact"/>
        <w:ind w:left="1000" w:hangingChars="500" w:hanging="1000"/>
        <w:rPr>
          <w:rFonts w:ascii="標楷體" w:eastAsia="標楷體" w:hAnsi="標楷體"/>
          <w:color w:val="000000"/>
          <w:sz w:val="20"/>
          <w:lang w:eastAsia="zh-TW"/>
        </w:rPr>
      </w:pPr>
      <w:r w:rsidRPr="00193EEF">
        <w:rPr>
          <w:rFonts w:ascii="標楷體" w:eastAsia="標楷體" w:hAnsi="標楷體" w:hint="eastAsia"/>
          <w:color w:val="000000"/>
          <w:sz w:val="20"/>
          <w:lang w:eastAsia="zh-TW"/>
        </w:rPr>
        <w:t xml:space="preserve">　　　　　前項交易金額之計算，應依第四條價格參考依據之第六項規定辦理。</w:t>
      </w:r>
    </w:p>
    <w:p w:rsidR="00011C77" w:rsidRPr="00193EEF" w:rsidRDefault="00011C77" w:rsidP="00011C77">
      <w:pPr>
        <w:pStyle w:val="a3"/>
        <w:spacing w:line="240" w:lineRule="exact"/>
        <w:ind w:left="1000" w:hangingChars="500" w:hanging="1000"/>
        <w:rPr>
          <w:rFonts w:ascii="標楷體" w:eastAsia="標楷體" w:hAnsi="標楷體"/>
          <w:color w:val="000000"/>
          <w:sz w:val="20"/>
          <w:lang w:eastAsia="zh-TW"/>
        </w:rPr>
      </w:pPr>
      <w:r w:rsidRPr="00193EEF">
        <w:rPr>
          <w:rFonts w:ascii="標楷體" w:eastAsia="標楷體" w:hAnsi="標楷體" w:hint="eastAsia"/>
          <w:color w:val="000000"/>
          <w:sz w:val="20"/>
          <w:lang w:eastAsia="zh-TW"/>
        </w:rPr>
        <w:t xml:space="preserve">　　　　　判斷交易對象是否為關係人時，除注意其法律形式外，並應考慮實質關係。</w:t>
      </w:r>
    </w:p>
    <w:p w:rsidR="00011C77" w:rsidRPr="00193EEF" w:rsidRDefault="00011C77" w:rsidP="00C87B3A">
      <w:pPr>
        <w:pStyle w:val="a3"/>
        <w:spacing w:beforeLines="50" w:before="180" w:line="240" w:lineRule="exact"/>
        <w:rPr>
          <w:rFonts w:ascii="標楷體" w:eastAsia="標楷體" w:hAnsi="標楷體"/>
          <w:color w:val="000000"/>
          <w:sz w:val="20"/>
          <w:lang w:eastAsia="zh-TW"/>
        </w:rPr>
      </w:pPr>
      <w:r w:rsidRPr="00193EEF">
        <w:rPr>
          <w:rFonts w:ascii="標楷體" w:eastAsia="標楷體" w:hAnsi="標楷體" w:hint="eastAsia"/>
          <w:color w:val="000000"/>
          <w:sz w:val="20"/>
          <w:lang w:eastAsia="zh-TW"/>
        </w:rPr>
        <w:lastRenderedPageBreak/>
        <w:t>第十二條：決議程序</w:t>
      </w:r>
    </w:p>
    <w:p w:rsidR="00011C77" w:rsidRPr="00C95BA4" w:rsidRDefault="00011C77" w:rsidP="00011C77">
      <w:pPr>
        <w:spacing w:line="240" w:lineRule="exact"/>
        <w:ind w:leftChars="415" w:left="996"/>
        <w:jc w:val="both"/>
        <w:rPr>
          <w:rFonts w:ascii="標楷體" w:eastAsia="標楷體" w:hAnsi="標楷體"/>
          <w:sz w:val="20"/>
          <w:lang w:eastAsia="zh-TW"/>
        </w:rPr>
      </w:pPr>
      <w:r w:rsidRPr="00193EEF">
        <w:rPr>
          <w:rFonts w:ascii="標楷體" w:eastAsia="標楷體" w:hAnsi="標楷體" w:hint="eastAsia"/>
          <w:color w:val="000000"/>
          <w:sz w:val="20"/>
          <w:lang w:eastAsia="zh-TW"/>
        </w:rPr>
        <w:t>本公司向關係人取得或處分不動產</w:t>
      </w:r>
      <w:r w:rsidR="00A0737F" w:rsidRPr="00C95BA4">
        <w:rPr>
          <w:rFonts w:ascii="標楷體" w:eastAsia="標楷體" w:hAnsi="標楷體" w:cs="微軟正黑體"/>
          <w:sz w:val="20"/>
        </w:rPr>
        <w:t>或其使用權資產</w:t>
      </w:r>
      <w:r w:rsidRPr="00C95BA4">
        <w:rPr>
          <w:rFonts w:ascii="標楷體" w:eastAsia="標楷體" w:hAnsi="標楷體" w:hint="eastAsia"/>
          <w:sz w:val="20"/>
          <w:lang w:eastAsia="zh-TW"/>
        </w:rPr>
        <w:t>，或與關係人取得或處分不動產</w:t>
      </w:r>
      <w:r w:rsidR="00A0737F" w:rsidRPr="00C95BA4">
        <w:rPr>
          <w:rFonts w:ascii="標楷體" w:eastAsia="標楷體" w:hAnsi="標楷體" w:cs="微軟正黑體"/>
          <w:sz w:val="20"/>
        </w:rPr>
        <w:t>或其使用權資產</w:t>
      </w:r>
      <w:r w:rsidRPr="00C95BA4">
        <w:rPr>
          <w:rFonts w:ascii="標楷體" w:eastAsia="標楷體" w:hAnsi="標楷體" w:hint="eastAsia"/>
          <w:sz w:val="20"/>
          <w:lang w:eastAsia="zh-TW"/>
        </w:rPr>
        <w:t>外之其他資產且交易金額達公司實收資本額百分之二十、總資產百分之十或新臺幣三億元以上者，除買賣</w:t>
      </w:r>
      <w:r w:rsidR="00C7397A" w:rsidRPr="00C95BA4">
        <w:rPr>
          <w:rFonts w:ascii="標楷體" w:eastAsia="標楷體" w:hAnsi="標楷體"/>
          <w:sz w:val="20"/>
        </w:rPr>
        <w:t>國內</w:t>
      </w:r>
      <w:r w:rsidRPr="00C95BA4">
        <w:rPr>
          <w:rFonts w:ascii="標楷體" w:eastAsia="標楷體" w:hAnsi="標楷體" w:hint="eastAsia"/>
          <w:sz w:val="20"/>
          <w:lang w:eastAsia="zh-TW"/>
        </w:rPr>
        <w:t>公債、附買回、賣回條件之債券、申購或買回國內</w:t>
      </w:r>
      <w:r w:rsidRPr="00C95BA4">
        <w:rPr>
          <w:rFonts w:ascii="標楷體" w:eastAsia="標楷體" w:hAnsi="標楷體"/>
          <w:sz w:val="20"/>
          <w:lang w:eastAsia="zh-TW"/>
        </w:rPr>
        <w:t>證券投資信託事業發行之</w:t>
      </w:r>
      <w:r w:rsidRPr="00C95BA4">
        <w:rPr>
          <w:rFonts w:ascii="標楷體" w:eastAsia="標楷體" w:hAnsi="標楷體" w:hint="eastAsia"/>
          <w:sz w:val="20"/>
          <w:lang w:eastAsia="zh-TW"/>
        </w:rPr>
        <w:t>貨幣市場基金外，應將下列資料，提交</w:t>
      </w:r>
      <w:r w:rsidR="00E5283F" w:rsidRPr="004508AB">
        <w:rPr>
          <w:rFonts w:ascii="標楷體" w:eastAsia="標楷體" w:hAnsi="標楷體"/>
          <w:sz w:val="20"/>
          <w:lang w:eastAsia="zh-TW"/>
        </w:rPr>
        <w:t>先經審計委員會同意，並提董事會決議通過</w:t>
      </w:r>
      <w:r w:rsidRPr="00C95BA4">
        <w:rPr>
          <w:rFonts w:ascii="標楷體" w:eastAsia="標楷體" w:hAnsi="標楷體" w:hint="eastAsia"/>
          <w:sz w:val="20"/>
          <w:lang w:eastAsia="zh-TW"/>
        </w:rPr>
        <w:t>，始得簽訂交易契約及支付款項：</w:t>
      </w:r>
    </w:p>
    <w:p w:rsidR="00011C77" w:rsidRPr="00C95BA4" w:rsidRDefault="00011C77" w:rsidP="00011C77">
      <w:pPr>
        <w:tabs>
          <w:tab w:val="left" w:pos="2002"/>
        </w:tabs>
        <w:spacing w:line="240" w:lineRule="exact"/>
        <w:ind w:firstLineChars="500" w:firstLine="1000"/>
        <w:jc w:val="both"/>
        <w:rPr>
          <w:rFonts w:ascii="標楷體" w:eastAsia="標楷體" w:hAnsi="標楷體"/>
          <w:sz w:val="20"/>
          <w:lang w:eastAsia="zh-TW"/>
        </w:rPr>
      </w:pPr>
      <w:r w:rsidRPr="00C95BA4">
        <w:rPr>
          <w:rFonts w:ascii="標楷體" w:eastAsia="標楷體" w:hAnsi="標楷體" w:hint="eastAsia"/>
          <w:sz w:val="20"/>
          <w:lang w:eastAsia="zh-TW"/>
        </w:rPr>
        <w:t>一、取得或處分資產之目的、必要性及預計效益。</w:t>
      </w:r>
    </w:p>
    <w:p w:rsidR="00011C77" w:rsidRPr="00C95BA4" w:rsidRDefault="00011C77" w:rsidP="00011C77">
      <w:pPr>
        <w:tabs>
          <w:tab w:val="left" w:pos="2002"/>
        </w:tabs>
        <w:spacing w:line="240" w:lineRule="exact"/>
        <w:ind w:firstLineChars="500" w:firstLine="1000"/>
        <w:jc w:val="both"/>
        <w:rPr>
          <w:rFonts w:ascii="標楷體" w:eastAsia="標楷體" w:hAnsi="標楷體"/>
          <w:sz w:val="20"/>
          <w:lang w:eastAsia="zh-TW"/>
        </w:rPr>
      </w:pPr>
      <w:r w:rsidRPr="00C95BA4">
        <w:rPr>
          <w:rFonts w:ascii="標楷體" w:eastAsia="標楷體" w:hAnsi="標楷體" w:hint="eastAsia"/>
          <w:sz w:val="20"/>
          <w:lang w:eastAsia="zh-TW"/>
        </w:rPr>
        <w:t>二、選定關係人為交易對象之原因。</w:t>
      </w:r>
    </w:p>
    <w:p w:rsidR="00464B9E" w:rsidRDefault="00464B9E" w:rsidP="00464B9E">
      <w:pPr>
        <w:tabs>
          <w:tab w:val="left" w:pos="2002"/>
        </w:tabs>
        <w:spacing w:line="240" w:lineRule="exact"/>
        <w:rPr>
          <w:rFonts w:ascii="標楷體" w:eastAsia="標楷體" w:hAnsi="標楷體"/>
          <w:color w:val="000000"/>
          <w:sz w:val="20"/>
          <w:lang w:eastAsia="zh-TW"/>
        </w:rPr>
      </w:pPr>
      <w:r w:rsidRPr="00C95BA4">
        <w:rPr>
          <w:rFonts w:ascii="標楷體" w:eastAsia="標楷體" w:hAnsi="標楷體" w:hint="eastAsia"/>
          <w:sz w:val="20"/>
          <w:lang w:eastAsia="zh-TW"/>
        </w:rPr>
        <w:t xml:space="preserve">          </w:t>
      </w:r>
      <w:r w:rsidR="00011C77" w:rsidRPr="00C95BA4">
        <w:rPr>
          <w:rFonts w:ascii="標楷體" w:eastAsia="標楷體" w:hAnsi="標楷體" w:hint="eastAsia"/>
          <w:sz w:val="20"/>
          <w:lang w:eastAsia="zh-TW"/>
        </w:rPr>
        <w:t>三、向關係人取得不動產</w:t>
      </w:r>
      <w:r w:rsidR="00C7397A" w:rsidRPr="00C95BA4">
        <w:rPr>
          <w:rFonts w:ascii="標楷體" w:eastAsia="標楷體" w:hAnsi="標楷體" w:cs="微軟正黑體"/>
          <w:sz w:val="20"/>
        </w:rPr>
        <w:t>或其使用權資產</w:t>
      </w:r>
      <w:r w:rsidR="00011C77" w:rsidRPr="00C95BA4">
        <w:rPr>
          <w:rFonts w:ascii="標楷體" w:eastAsia="標楷體" w:hAnsi="標楷體" w:hint="eastAsia"/>
          <w:sz w:val="20"/>
          <w:lang w:eastAsia="zh-TW"/>
        </w:rPr>
        <w:t>，依第十三條及第十四條款規定評</w:t>
      </w:r>
      <w:r w:rsidR="00011C77" w:rsidRPr="00193EEF">
        <w:rPr>
          <w:rFonts w:ascii="標楷體" w:eastAsia="標楷體" w:hAnsi="標楷體" w:hint="eastAsia"/>
          <w:color w:val="000000"/>
          <w:sz w:val="20"/>
          <w:lang w:eastAsia="zh-TW"/>
        </w:rPr>
        <w:t>估預定交易條件</w:t>
      </w:r>
    </w:p>
    <w:p w:rsidR="00011C77" w:rsidRPr="00193EEF" w:rsidRDefault="00464B9E" w:rsidP="00464B9E">
      <w:pPr>
        <w:tabs>
          <w:tab w:val="left" w:pos="2002"/>
        </w:tabs>
        <w:spacing w:line="240" w:lineRule="exact"/>
        <w:rPr>
          <w:rFonts w:ascii="標楷體" w:eastAsia="標楷體" w:hAnsi="標楷體"/>
          <w:color w:val="000000"/>
          <w:sz w:val="20"/>
          <w:lang w:eastAsia="zh-TW"/>
        </w:rPr>
      </w:pPr>
      <w:r>
        <w:rPr>
          <w:rFonts w:ascii="標楷體" w:eastAsia="標楷體" w:hAnsi="標楷體" w:hint="eastAsia"/>
          <w:color w:val="000000"/>
          <w:sz w:val="20"/>
          <w:lang w:eastAsia="zh-TW"/>
        </w:rPr>
        <w:t xml:space="preserve">              </w:t>
      </w:r>
      <w:r w:rsidR="00011C77" w:rsidRPr="00193EEF">
        <w:rPr>
          <w:rFonts w:ascii="標楷體" w:eastAsia="標楷體" w:hAnsi="標楷體" w:hint="eastAsia"/>
          <w:color w:val="000000"/>
          <w:sz w:val="20"/>
          <w:lang w:eastAsia="zh-TW"/>
        </w:rPr>
        <w:t>合理性之相關資料。</w:t>
      </w:r>
    </w:p>
    <w:p w:rsidR="00011C77" w:rsidRPr="00193EEF" w:rsidRDefault="00011C77" w:rsidP="00011C77">
      <w:pPr>
        <w:tabs>
          <w:tab w:val="left" w:pos="2002"/>
        </w:tabs>
        <w:spacing w:line="240" w:lineRule="exact"/>
        <w:ind w:firstLineChars="500" w:firstLine="10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四、關係人原取得日期及價格、交易對象及其與公司和關係人之關係等事項。</w:t>
      </w:r>
    </w:p>
    <w:p w:rsidR="00011C77" w:rsidRPr="00193EEF" w:rsidRDefault="00011C77" w:rsidP="00011C77">
      <w:pPr>
        <w:tabs>
          <w:tab w:val="left" w:pos="2002"/>
        </w:tabs>
        <w:spacing w:line="240" w:lineRule="exact"/>
        <w:ind w:leftChars="415" w:left="1396"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五、預計訂約月份開始之未來一年各月份現金收支預測表，並評估交易之必要性及資金運用之合理性。</w:t>
      </w:r>
    </w:p>
    <w:p w:rsidR="00011C77" w:rsidRPr="00193EEF" w:rsidRDefault="00011C77" w:rsidP="00011C77">
      <w:pPr>
        <w:tabs>
          <w:tab w:val="left" w:pos="2002"/>
        </w:tabs>
        <w:spacing w:line="240" w:lineRule="exact"/>
        <w:ind w:firstLineChars="500" w:firstLine="10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六、依前條規定取得之專業估價者出具之估價報告，或會計師意見。</w:t>
      </w:r>
    </w:p>
    <w:p w:rsidR="00011C77" w:rsidRPr="00193EEF" w:rsidRDefault="00011C77" w:rsidP="00011C77">
      <w:pPr>
        <w:tabs>
          <w:tab w:val="left" w:pos="2002"/>
        </w:tabs>
        <w:spacing w:line="240" w:lineRule="exact"/>
        <w:ind w:firstLineChars="500" w:firstLine="10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七、本次交易之限制條件及其他重要約定事項。</w:t>
      </w:r>
    </w:p>
    <w:p w:rsidR="00011C77" w:rsidRPr="00193EEF" w:rsidRDefault="00011C77" w:rsidP="004508AB">
      <w:pPr>
        <w:tabs>
          <w:tab w:val="left" w:pos="2002"/>
        </w:tabs>
        <w:spacing w:line="240" w:lineRule="exact"/>
        <w:ind w:leftChars="413" w:left="991" w:firstLineChars="3" w:firstLine="6"/>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前項交易金額之計算，應依第八條第一項第六點規定辦理，且所稱一年內係以本次交易事實發生之日為基準，往前追溯推算一年，已依本準則規定提交</w:t>
      </w:r>
      <w:r w:rsidR="003B1A02" w:rsidRPr="00CC0CE5">
        <w:rPr>
          <w:rFonts w:ascii="標楷體" w:eastAsia="標楷體" w:hAnsi="標楷體" w:hint="eastAsia"/>
          <w:color w:val="000000"/>
          <w:sz w:val="20"/>
          <w:lang w:eastAsia="zh-TW"/>
        </w:rPr>
        <w:t>提交</w:t>
      </w:r>
      <w:r w:rsidR="003B1A02" w:rsidRPr="00CC0CE5">
        <w:rPr>
          <w:rFonts w:ascii="標楷體" w:eastAsia="標楷體" w:hAnsi="標楷體" w:hint="eastAsia"/>
          <w:color w:val="FF0000"/>
          <w:sz w:val="20"/>
        </w:rPr>
        <w:t>股東會、</w:t>
      </w:r>
      <w:r w:rsidR="004508AB" w:rsidRPr="004508AB">
        <w:rPr>
          <w:rFonts w:ascii="標楷體" w:eastAsia="標楷體" w:hAnsi="標楷體"/>
          <w:color w:val="000000"/>
          <w:sz w:val="20"/>
          <w:lang w:eastAsia="zh-TW"/>
        </w:rPr>
        <w:t>審計委員會</w:t>
      </w:r>
      <w:r w:rsidR="004508AB" w:rsidRPr="004508AB">
        <w:rPr>
          <w:rFonts w:ascii="標楷體" w:eastAsia="標楷體" w:hAnsi="標楷體" w:hint="eastAsia"/>
          <w:color w:val="000000"/>
          <w:sz w:val="20"/>
          <w:lang w:eastAsia="zh-TW"/>
        </w:rPr>
        <w:t>與</w:t>
      </w:r>
      <w:r w:rsidR="004508AB" w:rsidRPr="004508AB">
        <w:rPr>
          <w:rFonts w:ascii="標楷體" w:eastAsia="標楷體" w:hAnsi="標楷體"/>
          <w:color w:val="000000"/>
          <w:sz w:val="20"/>
          <w:lang w:eastAsia="zh-TW"/>
        </w:rPr>
        <w:t>董事會</w:t>
      </w:r>
      <w:r w:rsidRPr="00513654">
        <w:rPr>
          <w:rFonts w:ascii="標楷體" w:eastAsia="標楷體" w:hAnsi="標楷體" w:hint="eastAsia"/>
          <w:color w:val="000000"/>
          <w:sz w:val="20"/>
          <w:lang w:eastAsia="zh-TW"/>
        </w:rPr>
        <w:t>承認部分免再計入。</w:t>
      </w:r>
    </w:p>
    <w:p w:rsidR="00536A54" w:rsidRPr="00C95BA4" w:rsidRDefault="00011C77" w:rsidP="00536A54">
      <w:pPr>
        <w:spacing w:line="240" w:lineRule="exact"/>
        <w:ind w:firstLineChars="500" w:firstLine="1000"/>
        <w:jc w:val="both"/>
        <w:rPr>
          <w:rFonts w:ascii="標楷體" w:eastAsia="標楷體" w:hAnsi="標楷體"/>
          <w:sz w:val="20"/>
        </w:rPr>
      </w:pPr>
      <w:r w:rsidRPr="00536A54">
        <w:rPr>
          <w:rFonts w:ascii="標楷體" w:eastAsia="標楷體" w:hAnsi="標楷體" w:hint="eastAsia"/>
          <w:color w:val="000000"/>
          <w:sz w:val="20"/>
          <w:lang w:eastAsia="zh-TW"/>
        </w:rPr>
        <w:t>本公司與子公司</w:t>
      </w:r>
      <w:r w:rsidR="00536A54" w:rsidRPr="00C95BA4">
        <w:rPr>
          <w:rFonts w:ascii="標楷體" w:eastAsia="標楷體" w:hAnsi="標楷體"/>
          <w:sz w:val="20"/>
        </w:rPr>
        <w:t>，或其直接或間接持有百分之百已發行股份或資本總額之子公司彼此間從</w:t>
      </w:r>
    </w:p>
    <w:p w:rsidR="00536A54" w:rsidRPr="00C95BA4" w:rsidRDefault="00536A54" w:rsidP="00536A54">
      <w:pPr>
        <w:spacing w:line="240" w:lineRule="exact"/>
        <w:ind w:firstLineChars="500" w:firstLine="1000"/>
        <w:jc w:val="both"/>
        <w:rPr>
          <w:rFonts w:ascii="標楷體" w:eastAsia="標楷體" w:hAnsi="標楷體"/>
          <w:sz w:val="20"/>
        </w:rPr>
      </w:pPr>
      <w:r w:rsidRPr="00C95BA4">
        <w:rPr>
          <w:rFonts w:ascii="標楷體" w:eastAsia="標楷體" w:hAnsi="標楷體"/>
          <w:sz w:val="20"/>
        </w:rPr>
        <w:t>事下列交易，董事會得依第五條第一項第二點款授權董事長在一定額度內先行決行，事後</w:t>
      </w:r>
    </w:p>
    <w:p w:rsidR="00536A54" w:rsidRPr="00C95BA4" w:rsidRDefault="00536A54" w:rsidP="00536A54">
      <w:pPr>
        <w:spacing w:line="240" w:lineRule="exact"/>
        <w:ind w:firstLineChars="500" w:firstLine="1000"/>
        <w:jc w:val="both"/>
        <w:rPr>
          <w:rFonts w:ascii="標楷體" w:eastAsia="標楷體" w:hAnsi="標楷體"/>
          <w:sz w:val="20"/>
        </w:rPr>
      </w:pPr>
      <w:r w:rsidRPr="00C95BA4">
        <w:rPr>
          <w:rFonts w:ascii="標楷體" w:eastAsia="標楷體" w:hAnsi="標楷體"/>
          <w:sz w:val="20"/>
        </w:rPr>
        <w:t>再提報最近期之董事會追認：</w:t>
      </w:r>
    </w:p>
    <w:p w:rsidR="00536A54" w:rsidRPr="00C95BA4" w:rsidRDefault="00536A54" w:rsidP="00C95BA4">
      <w:pPr>
        <w:spacing w:line="240" w:lineRule="exact"/>
        <w:ind w:firstLineChars="533" w:firstLine="991"/>
        <w:jc w:val="both"/>
        <w:rPr>
          <w:rFonts w:ascii="標楷體" w:eastAsia="標楷體" w:hAnsi="標楷體"/>
          <w:sz w:val="20"/>
        </w:rPr>
      </w:pPr>
      <w:r w:rsidRPr="00C95BA4">
        <w:rPr>
          <w:rFonts w:ascii="標楷體" w:eastAsia="標楷體" w:hAnsi="標楷體"/>
          <w:spacing w:val="-7"/>
          <w:sz w:val="20"/>
        </w:rPr>
        <w:t>一、</w:t>
      </w:r>
      <w:r w:rsidRPr="00C95BA4">
        <w:rPr>
          <w:rFonts w:ascii="標楷體" w:eastAsia="標楷體" w:hAnsi="標楷體"/>
          <w:sz w:val="20"/>
        </w:rPr>
        <w:t>取得或處分供營業使用之設備或其使用權資產。</w:t>
      </w:r>
    </w:p>
    <w:p w:rsidR="00011C77" w:rsidRPr="00C95BA4" w:rsidRDefault="00536A54" w:rsidP="00C95BA4">
      <w:pPr>
        <w:spacing w:line="240" w:lineRule="exact"/>
        <w:ind w:firstLineChars="500" w:firstLine="1000"/>
        <w:jc w:val="both"/>
        <w:rPr>
          <w:rFonts w:ascii="標楷體" w:eastAsia="標楷體" w:hAnsi="標楷體"/>
          <w:sz w:val="20"/>
        </w:rPr>
      </w:pPr>
      <w:r w:rsidRPr="00C95BA4">
        <w:rPr>
          <w:rFonts w:ascii="標楷體" w:eastAsia="標楷體" w:hAnsi="標楷體"/>
          <w:sz w:val="20"/>
        </w:rPr>
        <w:t>二、取得或處分供營業使用之不動產使用權資產。</w:t>
      </w:r>
    </w:p>
    <w:p w:rsidR="00011C77" w:rsidRPr="00536A54" w:rsidRDefault="00011C77" w:rsidP="00011C77">
      <w:pPr>
        <w:spacing w:line="240" w:lineRule="exact"/>
        <w:ind w:leftChars="415" w:left="996"/>
        <w:jc w:val="both"/>
        <w:rPr>
          <w:rFonts w:ascii="標楷體" w:eastAsia="標楷體" w:hAnsi="標楷體"/>
          <w:color w:val="000000"/>
          <w:sz w:val="20"/>
          <w:lang w:eastAsia="zh-TW"/>
        </w:rPr>
      </w:pPr>
      <w:r w:rsidRPr="00536A54">
        <w:rPr>
          <w:rFonts w:ascii="標楷體" w:eastAsia="標楷體" w:hAnsi="標楷體" w:hint="eastAsia"/>
          <w:color w:val="000000"/>
          <w:sz w:val="20"/>
          <w:lang w:eastAsia="zh-TW"/>
        </w:rPr>
        <w:t>本公司若已設置獨立董事者，依第一項規定將取得或處分資產交易提報董事會討論時，應充分考量各獨立董事之意見，獨立董事如有反對意見或保留意見，應於董事會議事錄載明。</w:t>
      </w:r>
    </w:p>
    <w:p w:rsidR="00011C77" w:rsidRPr="00193EEF" w:rsidRDefault="00011C77" w:rsidP="00011C77">
      <w:pPr>
        <w:spacing w:line="240" w:lineRule="exact"/>
        <w:ind w:leftChars="415" w:left="996"/>
        <w:jc w:val="both"/>
        <w:rPr>
          <w:rFonts w:ascii="標楷體" w:eastAsia="標楷體" w:hAnsi="標楷體"/>
          <w:color w:val="000000"/>
          <w:sz w:val="20"/>
          <w:lang w:eastAsia="zh-TW"/>
        </w:rPr>
      </w:pPr>
      <w:r w:rsidRPr="00536A54">
        <w:rPr>
          <w:rFonts w:ascii="標楷體" w:eastAsia="標楷體" w:hAnsi="標楷體" w:hint="eastAsia"/>
          <w:color w:val="000000"/>
          <w:sz w:val="20"/>
          <w:lang w:eastAsia="zh-TW"/>
        </w:rPr>
        <w:t>本公司若已設置審計委員會者，依第一項規定應經監察人承認事項，應先經審計委員會全體成員二分之一以上同意，並提董事會決議。</w:t>
      </w:r>
    </w:p>
    <w:p w:rsidR="00011C77" w:rsidRPr="00193EEF" w:rsidRDefault="00011C77" w:rsidP="00011C77">
      <w:pPr>
        <w:spacing w:line="240" w:lineRule="exact"/>
        <w:ind w:leftChars="415" w:left="996"/>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前項如未經審計委員會全體成員二分之一以上同意者，得由全體董事三分之二以上同意行之，並應於董事會議事錄載明審計委員會之決議。</w:t>
      </w:r>
    </w:p>
    <w:p w:rsidR="003B1A02" w:rsidRPr="00CC0CE5" w:rsidRDefault="003B1A02" w:rsidP="003B1A02">
      <w:pPr>
        <w:spacing w:line="240" w:lineRule="exact"/>
        <w:ind w:leftChars="412" w:left="991" w:hangingChars="1" w:hanging="2"/>
        <w:jc w:val="both"/>
        <w:rPr>
          <w:rFonts w:ascii="標楷體" w:eastAsia="標楷體" w:hAnsi="標楷體"/>
          <w:color w:val="FF0000"/>
          <w:sz w:val="20"/>
          <w:lang w:eastAsia="zh-TW"/>
        </w:rPr>
      </w:pPr>
      <w:r w:rsidRPr="00CC0CE5">
        <w:rPr>
          <w:rFonts w:ascii="標楷體" w:eastAsia="標楷體" w:hAnsi="標楷體"/>
          <w:color w:val="FF0000"/>
          <w:sz w:val="20"/>
        </w:rPr>
        <w:t>公開發行公司或其非屬國內公開發行公司之子公司有第一項交易，交易金額達公開發行公司總資產百分之十以上者，公開發行公司應將第一項所列各款資料提交股東會同意後，始得簽訂交易契約及支付款項。但</w:t>
      </w:r>
      <w:r w:rsidRPr="00CC0CE5">
        <w:rPr>
          <w:rFonts w:ascii="標楷體" w:eastAsia="標楷體" w:hAnsi="標楷體" w:cs="Noto Sans Mono CJK JP Regular" w:hint="eastAsia"/>
          <w:color w:val="FF0000"/>
          <w:sz w:val="20"/>
          <w:lang w:eastAsia="zh-TW"/>
        </w:rPr>
        <w:t>公開發行公司與其母公司、子公司，或其子公司彼此間交易，不在此限。</w:t>
      </w:r>
      <w:r w:rsidRPr="00CC0CE5">
        <w:rPr>
          <w:rFonts w:ascii="標楷體" w:eastAsia="標楷體" w:hAnsi="標楷體"/>
          <w:color w:val="FF0000"/>
          <w:sz w:val="20"/>
          <w:lang w:eastAsia="zh-TW"/>
        </w:rPr>
        <w:t xml:space="preserve"> </w:t>
      </w:r>
    </w:p>
    <w:p w:rsidR="00011C77" w:rsidRPr="00193EEF" w:rsidRDefault="00011C77" w:rsidP="00011C77">
      <w:pPr>
        <w:spacing w:line="240" w:lineRule="exact"/>
        <w:ind w:firstLineChars="500" w:firstLine="10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前項所稱審計委員會全體成員及前項所稱全體董事，以實際在任者計算之。</w:t>
      </w:r>
    </w:p>
    <w:p w:rsidR="00011C77" w:rsidRPr="00193EEF" w:rsidRDefault="00011C77" w:rsidP="00C87B3A">
      <w:pPr>
        <w:spacing w:beforeLines="50" w:before="180" w:line="240" w:lineRule="exact"/>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第十三條：交易條件合理性之評估</w:t>
      </w:r>
    </w:p>
    <w:p w:rsidR="00011C77" w:rsidRPr="00C95BA4" w:rsidRDefault="00011C77" w:rsidP="00011C77">
      <w:pPr>
        <w:spacing w:line="240" w:lineRule="exact"/>
        <w:ind w:leftChars="415" w:left="996"/>
        <w:jc w:val="both"/>
        <w:rPr>
          <w:rFonts w:ascii="標楷體" w:eastAsia="標楷體" w:hAnsi="標楷體"/>
          <w:sz w:val="20"/>
          <w:lang w:eastAsia="zh-TW"/>
        </w:rPr>
      </w:pPr>
      <w:r w:rsidRPr="00193EEF">
        <w:rPr>
          <w:rFonts w:ascii="標楷體" w:eastAsia="標楷體" w:hAnsi="標楷體" w:hint="eastAsia"/>
          <w:color w:val="000000"/>
          <w:sz w:val="20"/>
          <w:lang w:eastAsia="zh-TW"/>
        </w:rPr>
        <w:t>本</w:t>
      </w:r>
      <w:r w:rsidRPr="00D36351">
        <w:rPr>
          <w:rFonts w:ascii="標楷體" w:eastAsia="標楷體" w:hAnsi="標楷體" w:hint="eastAsia"/>
          <w:color w:val="000000"/>
          <w:sz w:val="20"/>
          <w:lang w:eastAsia="zh-TW"/>
        </w:rPr>
        <w:t>公司向關係人取得不動產</w:t>
      </w:r>
      <w:r w:rsidR="00D36351" w:rsidRPr="00C95BA4">
        <w:rPr>
          <w:rFonts w:ascii="標楷體" w:eastAsia="標楷體" w:hAnsi="標楷體" w:cs="微軟正黑體"/>
          <w:sz w:val="20"/>
        </w:rPr>
        <w:t>或其使用權資產</w:t>
      </w:r>
      <w:r w:rsidRPr="00C95BA4">
        <w:rPr>
          <w:rFonts w:ascii="標楷體" w:eastAsia="標楷體" w:hAnsi="標楷體" w:hint="eastAsia"/>
          <w:sz w:val="20"/>
          <w:lang w:eastAsia="zh-TW"/>
        </w:rPr>
        <w:t>，應按下列方法評估交易成本之合理性，並應洽請會計師複核及表示具體意見：</w:t>
      </w:r>
    </w:p>
    <w:p w:rsidR="00011C77" w:rsidRPr="00C95BA4" w:rsidRDefault="00011C77" w:rsidP="00011C77">
      <w:pPr>
        <w:spacing w:line="240" w:lineRule="exact"/>
        <w:ind w:leftChars="417" w:left="1401" w:hangingChars="200" w:hanging="400"/>
        <w:jc w:val="both"/>
        <w:rPr>
          <w:rFonts w:ascii="標楷體" w:eastAsia="標楷體" w:hAnsi="標楷體"/>
          <w:sz w:val="20"/>
          <w:lang w:eastAsia="zh-TW"/>
        </w:rPr>
      </w:pPr>
      <w:r w:rsidRPr="00C95BA4">
        <w:rPr>
          <w:rFonts w:ascii="標楷體" w:eastAsia="標楷體" w:hAnsi="標楷體" w:hint="eastAsia"/>
          <w:sz w:val="20"/>
          <w:lang w:eastAsia="zh-TW"/>
        </w:rPr>
        <w:t>一、按關係人交易價格加計必要資金利息及買方依法應負擔之成本。所稱必要資金利息成本，以公司購入資產年度所借款項之加權平均利率為準設算之，惟其不得高於財政部公布之非金融業最高借款利率。</w:t>
      </w:r>
    </w:p>
    <w:p w:rsidR="00011C77" w:rsidRPr="00C95BA4" w:rsidRDefault="00011C77" w:rsidP="00011C77">
      <w:pPr>
        <w:spacing w:line="240" w:lineRule="exact"/>
        <w:ind w:leftChars="415" w:left="1396" w:hangingChars="200" w:hanging="400"/>
        <w:jc w:val="both"/>
        <w:rPr>
          <w:rFonts w:ascii="標楷體" w:eastAsia="標楷體" w:hAnsi="標楷體"/>
          <w:sz w:val="20"/>
          <w:lang w:eastAsia="zh-TW"/>
        </w:rPr>
      </w:pPr>
      <w:r w:rsidRPr="00C95BA4">
        <w:rPr>
          <w:rFonts w:ascii="標楷體" w:eastAsia="標楷體" w:hAnsi="標楷體" w:hint="eastAsia"/>
          <w:sz w:val="20"/>
          <w:lang w:eastAsia="zh-TW"/>
        </w:rPr>
        <w:t>二、關係人如曾以該標的物向金融機構設定抵押借款者，金融機構對該標的物之貸放評估總值，惟金融機構對該標的物之實際貸放累計值應達貸放評估總值之七成以上及貸放期間已逾一年以上。但金融機構與交易之一方互為關係人者，不適用之。</w:t>
      </w:r>
    </w:p>
    <w:p w:rsidR="00011C77" w:rsidRPr="00C95BA4" w:rsidRDefault="00011C77" w:rsidP="00011C77">
      <w:pPr>
        <w:spacing w:line="240" w:lineRule="exact"/>
        <w:ind w:leftChars="415" w:left="1396" w:hangingChars="200" w:hanging="400"/>
        <w:jc w:val="both"/>
        <w:rPr>
          <w:rFonts w:ascii="標楷體" w:eastAsia="標楷體" w:hAnsi="標楷體"/>
          <w:sz w:val="20"/>
          <w:lang w:eastAsia="zh-TW"/>
        </w:rPr>
      </w:pPr>
      <w:r w:rsidRPr="00C95BA4">
        <w:rPr>
          <w:rFonts w:ascii="標楷體" w:eastAsia="標楷體" w:hAnsi="標楷體" w:hint="eastAsia"/>
          <w:sz w:val="20"/>
          <w:lang w:eastAsia="zh-TW"/>
        </w:rPr>
        <w:t>三、合併購買同一標的之土地及房屋者，得就土地及房屋分別按前項所列任一方法評估交易成本。</w:t>
      </w:r>
    </w:p>
    <w:p w:rsidR="00011C77" w:rsidRPr="00C95BA4" w:rsidRDefault="00011C77" w:rsidP="00011C77">
      <w:pPr>
        <w:spacing w:line="240" w:lineRule="exact"/>
        <w:ind w:leftChars="415" w:left="996"/>
        <w:jc w:val="both"/>
        <w:rPr>
          <w:rFonts w:ascii="標楷體" w:eastAsia="標楷體" w:hAnsi="標楷體"/>
          <w:sz w:val="20"/>
          <w:lang w:eastAsia="zh-TW"/>
        </w:rPr>
      </w:pPr>
      <w:r w:rsidRPr="00C95BA4">
        <w:rPr>
          <w:rFonts w:ascii="標楷體" w:eastAsia="標楷體" w:hAnsi="標楷體" w:hint="eastAsia"/>
          <w:sz w:val="20"/>
          <w:lang w:eastAsia="zh-TW"/>
        </w:rPr>
        <w:t>本公司向關係人取得不動產</w:t>
      </w:r>
      <w:r w:rsidR="00D36351" w:rsidRPr="00C95BA4">
        <w:rPr>
          <w:rFonts w:ascii="標楷體" w:eastAsia="標楷體" w:hAnsi="標楷體" w:cs="微軟正黑體"/>
          <w:sz w:val="20"/>
        </w:rPr>
        <w:t>或其使用權資產</w:t>
      </w:r>
      <w:r w:rsidRPr="00C95BA4">
        <w:rPr>
          <w:rFonts w:ascii="標楷體" w:eastAsia="標楷體" w:hAnsi="標楷體" w:hint="eastAsia"/>
          <w:sz w:val="20"/>
          <w:lang w:eastAsia="zh-TW"/>
        </w:rPr>
        <w:t>，有下列情形之一者，應依第十二條規定辦理，不適用本條前三項規定：</w:t>
      </w:r>
    </w:p>
    <w:p w:rsidR="00011C77" w:rsidRPr="00C95BA4" w:rsidRDefault="00011C77" w:rsidP="00011C77">
      <w:pPr>
        <w:spacing w:line="240" w:lineRule="exact"/>
        <w:ind w:firstLineChars="500" w:firstLine="1000"/>
        <w:jc w:val="both"/>
        <w:rPr>
          <w:rFonts w:ascii="標楷體" w:eastAsia="標楷體" w:hAnsi="標楷體"/>
          <w:sz w:val="20"/>
          <w:lang w:eastAsia="zh-TW"/>
        </w:rPr>
      </w:pPr>
      <w:r w:rsidRPr="00C95BA4">
        <w:rPr>
          <w:rFonts w:ascii="標楷體" w:eastAsia="標楷體" w:hAnsi="標楷體" w:hint="eastAsia"/>
          <w:sz w:val="20"/>
          <w:lang w:eastAsia="zh-TW"/>
        </w:rPr>
        <w:t>一、關係人係因繼承或贈與而取得不動產</w:t>
      </w:r>
      <w:r w:rsidR="00D36351" w:rsidRPr="00C95BA4">
        <w:rPr>
          <w:rFonts w:ascii="標楷體" w:eastAsia="標楷體" w:hAnsi="標楷體" w:cs="微軟正黑體"/>
          <w:sz w:val="20"/>
        </w:rPr>
        <w:t>或其使用權資產</w:t>
      </w:r>
      <w:r w:rsidRPr="00C95BA4">
        <w:rPr>
          <w:rFonts w:ascii="標楷體" w:eastAsia="標楷體" w:hAnsi="標楷體" w:hint="eastAsia"/>
          <w:sz w:val="20"/>
          <w:lang w:eastAsia="zh-TW"/>
        </w:rPr>
        <w:t>。</w:t>
      </w:r>
    </w:p>
    <w:p w:rsidR="00011C77" w:rsidRPr="00C95BA4" w:rsidRDefault="00011C77" w:rsidP="00011C77">
      <w:pPr>
        <w:spacing w:line="240" w:lineRule="exact"/>
        <w:ind w:firstLineChars="500" w:firstLine="1000"/>
        <w:jc w:val="both"/>
        <w:rPr>
          <w:rFonts w:ascii="標楷體" w:eastAsia="標楷體" w:hAnsi="標楷體"/>
          <w:sz w:val="20"/>
          <w:lang w:eastAsia="zh-TW"/>
        </w:rPr>
      </w:pPr>
      <w:r w:rsidRPr="00C95BA4">
        <w:rPr>
          <w:rFonts w:ascii="標楷體" w:eastAsia="標楷體" w:hAnsi="標楷體" w:hint="eastAsia"/>
          <w:sz w:val="20"/>
          <w:lang w:eastAsia="zh-TW"/>
        </w:rPr>
        <w:t>二、關係人訂約取得不動產</w:t>
      </w:r>
      <w:r w:rsidR="00D36351" w:rsidRPr="00C95BA4">
        <w:rPr>
          <w:rFonts w:ascii="標楷體" w:eastAsia="標楷體" w:hAnsi="標楷體" w:cs="微軟正黑體"/>
          <w:sz w:val="20"/>
        </w:rPr>
        <w:t>或其使用權資產</w:t>
      </w:r>
      <w:r w:rsidRPr="00C95BA4">
        <w:rPr>
          <w:rFonts w:ascii="標楷體" w:eastAsia="標楷體" w:hAnsi="標楷體" w:hint="eastAsia"/>
          <w:sz w:val="20"/>
          <w:lang w:eastAsia="zh-TW"/>
        </w:rPr>
        <w:t>時間距本交易訂約日已逾五年。</w:t>
      </w:r>
    </w:p>
    <w:p w:rsidR="00D36351" w:rsidRPr="00C95BA4" w:rsidRDefault="00011C77" w:rsidP="00011C77">
      <w:pPr>
        <w:spacing w:line="240" w:lineRule="exact"/>
        <w:ind w:firstLineChars="500" w:firstLine="1000"/>
        <w:jc w:val="both"/>
        <w:rPr>
          <w:rFonts w:ascii="標楷體" w:eastAsia="標楷體" w:hAnsi="標楷體" w:cs="微軟正黑體"/>
          <w:sz w:val="20"/>
        </w:rPr>
      </w:pPr>
      <w:r w:rsidRPr="00C95BA4">
        <w:rPr>
          <w:rFonts w:ascii="標楷體" w:eastAsia="標楷體" w:hAnsi="標楷體" w:hint="eastAsia"/>
          <w:sz w:val="20"/>
          <w:lang w:eastAsia="zh-TW"/>
        </w:rPr>
        <w:t>三、與關係人簽訂合建契約，或自地委建、租地委建等委請關係人興建不動產</w:t>
      </w:r>
      <w:r w:rsidR="00D36351" w:rsidRPr="00C95BA4">
        <w:rPr>
          <w:rFonts w:ascii="標楷體" w:eastAsia="標楷體" w:hAnsi="標楷體" w:cs="微軟正黑體"/>
          <w:sz w:val="20"/>
        </w:rPr>
        <w:t>或其使用權資</w:t>
      </w:r>
    </w:p>
    <w:p w:rsidR="00011C77" w:rsidRPr="00C95BA4" w:rsidRDefault="00D36351" w:rsidP="00D36351">
      <w:pPr>
        <w:spacing w:line="240" w:lineRule="exact"/>
        <w:ind w:firstLineChars="500" w:firstLine="1000"/>
        <w:jc w:val="both"/>
        <w:rPr>
          <w:rFonts w:ascii="標楷體" w:eastAsia="標楷體" w:hAnsi="標楷體"/>
          <w:sz w:val="20"/>
          <w:lang w:eastAsia="zh-TW"/>
        </w:rPr>
      </w:pPr>
      <w:r w:rsidRPr="00C95BA4">
        <w:rPr>
          <w:rFonts w:ascii="標楷體" w:eastAsia="標楷體" w:hAnsi="標楷體" w:cs="微軟正黑體" w:hint="eastAsia"/>
          <w:sz w:val="20"/>
          <w:lang w:eastAsia="zh-TW"/>
        </w:rPr>
        <w:t xml:space="preserve">    </w:t>
      </w:r>
      <w:r w:rsidRPr="00C95BA4">
        <w:rPr>
          <w:rFonts w:ascii="標楷體" w:eastAsia="標楷體" w:hAnsi="標楷體" w:cs="微軟正黑體"/>
          <w:sz w:val="20"/>
        </w:rPr>
        <w:t>產</w:t>
      </w:r>
      <w:r w:rsidR="00011C77" w:rsidRPr="00C95BA4">
        <w:rPr>
          <w:rFonts w:ascii="標楷體" w:eastAsia="標楷體" w:hAnsi="標楷體" w:hint="eastAsia"/>
          <w:sz w:val="20"/>
          <w:lang w:eastAsia="zh-TW"/>
        </w:rPr>
        <w:t>而取得不動產</w:t>
      </w:r>
      <w:r w:rsidRPr="00C95BA4">
        <w:rPr>
          <w:rFonts w:ascii="標楷體" w:eastAsia="標楷體" w:hAnsi="標楷體" w:cs="微軟正黑體"/>
          <w:sz w:val="20"/>
        </w:rPr>
        <w:t>或其使用權資產</w:t>
      </w:r>
      <w:r w:rsidR="00011C77" w:rsidRPr="00C95BA4">
        <w:rPr>
          <w:rFonts w:ascii="標楷體" w:eastAsia="標楷體" w:hAnsi="標楷體" w:hint="eastAsia"/>
          <w:sz w:val="20"/>
          <w:lang w:eastAsia="zh-TW"/>
        </w:rPr>
        <w:t>。</w:t>
      </w:r>
    </w:p>
    <w:p w:rsidR="00011C77" w:rsidRPr="00C95BA4" w:rsidRDefault="00011C77" w:rsidP="00C87B3A">
      <w:pPr>
        <w:spacing w:beforeLines="50" w:before="180" w:line="240" w:lineRule="exact"/>
        <w:jc w:val="both"/>
        <w:rPr>
          <w:rFonts w:ascii="標楷體" w:eastAsia="標楷體" w:hAnsi="標楷體"/>
          <w:sz w:val="20"/>
          <w:lang w:eastAsia="zh-TW"/>
        </w:rPr>
      </w:pPr>
      <w:r w:rsidRPr="00C95BA4">
        <w:rPr>
          <w:rFonts w:ascii="標楷體" w:eastAsia="標楷體" w:hAnsi="標楷體" w:hint="eastAsia"/>
          <w:sz w:val="20"/>
          <w:lang w:eastAsia="zh-TW"/>
        </w:rPr>
        <w:t>第十四條：設算交易成本低於交易價格時應辦理事項</w:t>
      </w:r>
    </w:p>
    <w:p w:rsidR="00011C77" w:rsidRPr="00193EEF" w:rsidRDefault="00011C77" w:rsidP="00011C77">
      <w:pPr>
        <w:spacing w:line="240" w:lineRule="exact"/>
        <w:ind w:leftChars="415" w:left="996"/>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本公司依前條規定評估結果均較交易價格為低時，應依第三項規定辦理。但如因下列情形，並提出客觀證據及取具不動產專業估價者與會計師之具體合理性意見者，不在此限：</w:t>
      </w:r>
    </w:p>
    <w:p w:rsidR="00011C77" w:rsidRPr="00193EEF" w:rsidRDefault="00011C77" w:rsidP="00011C77">
      <w:pPr>
        <w:spacing w:line="240" w:lineRule="exact"/>
        <w:ind w:firstLineChars="500" w:firstLine="10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一、關係人係取得素地或租地再行興建者，得舉證符合下列條件之一者：</w:t>
      </w:r>
    </w:p>
    <w:p w:rsidR="00011C77" w:rsidRPr="00193EEF" w:rsidRDefault="00011C77" w:rsidP="00011C77">
      <w:pPr>
        <w:spacing w:line="240" w:lineRule="exact"/>
        <w:ind w:leftChars="581" w:left="1694" w:hangingChars="150" w:hanging="3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(1)素地依前條規定之方法評估，房屋則按關係人之營建成本加計合理營建利潤，其合計</w:t>
      </w:r>
      <w:r w:rsidRPr="00193EEF">
        <w:rPr>
          <w:rFonts w:ascii="標楷體" w:eastAsia="標楷體" w:hAnsi="標楷體" w:hint="eastAsia"/>
          <w:color w:val="000000"/>
          <w:sz w:val="20"/>
          <w:lang w:eastAsia="zh-TW"/>
        </w:rPr>
        <w:lastRenderedPageBreak/>
        <w:t>數逾實際交易價格者。所稱合理營建利潤，應以最近三年度關係人營建部門之平均營業毛利率或財政部公布之最近期建設業毛利率孰低者為準。</w:t>
      </w:r>
    </w:p>
    <w:p w:rsidR="00011C77" w:rsidRPr="00193EEF" w:rsidRDefault="00011C77" w:rsidP="00011C77">
      <w:pPr>
        <w:spacing w:line="240" w:lineRule="exact"/>
        <w:ind w:leftChars="584" w:left="1702" w:hangingChars="150" w:hanging="3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(2)同一標的房地之其他樓層或鄰近地區一年內之其他非關係人成交案例，其面積相近，且交易條件經按不動產買賣慣例應有之合理樓層或地區價差評估後條件相當者。</w:t>
      </w:r>
    </w:p>
    <w:p w:rsidR="00011C77" w:rsidRPr="00193EEF" w:rsidRDefault="00011C77" w:rsidP="00011C77">
      <w:pPr>
        <w:spacing w:line="240" w:lineRule="exact"/>
        <w:ind w:leftChars="584" w:left="1702" w:hangingChars="150" w:hanging="3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(3)同一標的房地之其他樓層一年內之其他非關係人租賃案例，經按不動產租賃慣例應有合理之樓層價差推估其交易條件相當者。</w:t>
      </w:r>
    </w:p>
    <w:p w:rsidR="00011C77" w:rsidRPr="00C95BA4" w:rsidRDefault="00011C77" w:rsidP="00011C77">
      <w:pPr>
        <w:tabs>
          <w:tab w:val="left" w:pos="1260"/>
        </w:tabs>
        <w:spacing w:line="240" w:lineRule="exact"/>
        <w:ind w:leftChars="417" w:left="1401" w:hangingChars="200" w:hanging="400"/>
        <w:jc w:val="both"/>
        <w:rPr>
          <w:rFonts w:ascii="標楷體" w:eastAsia="標楷體" w:hAnsi="標楷體"/>
          <w:sz w:val="20"/>
          <w:lang w:eastAsia="zh-TW"/>
        </w:rPr>
      </w:pPr>
      <w:r w:rsidRPr="00193EEF">
        <w:rPr>
          <w:rFonts w:ascii="標楷體" w:eastAsia="標楷體" w:hAnsi="標楷體" w:hint="eastAsia"/>
          <w:color w:val="000000"/>
          <w:sz w:val="20"/>
          <w:lang w:eastAsia="zh-TW"/>
        </w:rPr>
        <w:t>二、本公司舉證向關係人購入之不</w:t>
      </w:r>
      <w:r w:rsidRPr="00A70DB7">
        <w:rPr>
          <w:rFonts w:ascii="標楷體" w:eastAsia="標楷體" w:hAnsi="標楷體" w:hint="eastAsia"/>
          <w:color w:val="000000"/>
          <w:sz w:val="20"/>
          <w:lang w:eastAsia="zh-TW"/>
        </w:rPr>
        <w:t>動產</w:t>
      </w:r>
      <w:r w:rsidR="00A70DB7" w:rsidRPr="00C95BA4">
        <w:rPr>
          <w:rFonts w:ascii="標楷體" w:eastAsia="標楷體" w:hAnsi="標楷體" w:cs="微軟正黑體"/>
          <w:sz w:val="20"/>
        </w:rPr>
        <w:t>或其使用權資產</w:t>
      </w:r>
      <w:r w:rsidRPr="00C95BA4">
        <w:rPr>
          <w:rFonts w:ascii="標楷體" w:eastAsia="標楷體" w:hAnsi="標楷體" w:hint="eastAsia"/>
          <w:sz w:val="20"/>
          <w:lang w:eastAsia="zh-TW"/>
        </w:rPr>
        <w:t>，其交易條件與鄰近地區一年內之其他非關係人成交案例相當且面積相近者。前述所稱鄰近地區成交案例，以同一或相鄰街廓且距離交易標的物方圓未逾五百公尺或其公告現值相近者為原則；所稱面積相近，則以其他非關係人成交案例之面積不低於交易標的物面積百分之五十為原則；前述所稱一年內係以本次取得不動產</w:t>
      </w:r>
      <w:r w:rsidR="00A70DB7" w:rsidRPr="00C95BA4">
        <w:rPr>
          <w:rFonts w:ascii="標楷體" w:eastAsia="標楷體" w:hAnsi="標楷體" w:cs="微軟正黑體"/>
          <w:sz w:val="20"/>
        </w:rPr>
        <w:t>或其使用權資產</w:t>
      </w:r>
      <w:r w:rsidRPr="00C95BA4">
        <w:rPr>
          <w:rFonts w:ascii="標楷體" w:eastAsia="標楷體" w:hAnsi="標楷體" w:hint="eastAsia"/>
          <w:sz w:val="20"/>
          <w:lang w:eastAsia="zh-TW"/>
        </w:rPr>
        <w:t>事實發生之日為基準，往前追溯推算一年。</w:t>
      </w:r>
    </w:p>
    <w:p w:rsidR="00A70DB7" w:rsidRPr="00C95BA4" w:rsidRDefault="00A70DB7" w:rsidP="00011C77">
      <w:pPr>
        <w:spacing w:line="240" w:lineRule="exact"/>
        <w:ind w:leftChars="415" w:left="996"/>
        <w:jc w:val="both"/>
        <w:rPr>
          <w:rFonts w:ascii="標楷體" w:eastAsia="標楷體" w:hAnsi="標楷體"/>
          <w:sz w:val="20"/>
          <w:lang w:eastAsia="zh-TW"/>
        </w:rPr>
      </w:pPr>
      <w:r w:rsidRPr="00C95BA4">
        <w:rPr>
          <w:rFonts w:ascii="標楷體" w:eastAsia="標楷體" w:hAnsi="標楷體" w:hint="eastAsia"/>
          <w:sz w:val="20"/>
          <w:lang w:eastAsia="zh-TW"/>
        </w:rPr>
        <w:t xml:space="preserve">    </w:t>
      </w:r>
      <w:r w:rsidR="00011C77" w:rsidRPr="00C95BA4">
        <w:rPr>
          <w:rFonts w:ascii="標楷體" w:eastAsia="標楷體" w:hAnsi="標楷體" w:hint="eastAsia"/>
          <w:sz w:val="20"/>
          <w:lang w:eastAsia="zh-TW"/>
        </w:rPr>
        <w:t>本公司向關係人取得不動產</w:t>
      </w:r>
      <w:r w:rsidRPr="00C95BA4">
        <w:rPr>
          <w:rFonts w:ascii="標楷體" w:eastAsia="標楷體" w:hAnsi="標楷體" w:cs="微軟正黑體"/>
          <w:sz w:val="20"/>
        </w:rPr>
        <w:t>或其使用權資產</w:t>
      </w:r>
      <w:r w:rsidR="00011C77" w:rsidRPr="00C95BA4">
        <w:rPr>
          <w:rFonts w:ascii="標楷體" w:eastAsia="標楷體" w:hAnsi="標楷體" w:hint="eastAsia"/>
          <w:sz w:val="20"/>
          <w:lang w:eastAsia="zh-TW"/>
        </w:rPr>
        <w:t>，如經按前條規定評估結果均較交易價格為</w:t>
      </w:r>
      <w:r w:rsidRPr="00C95BA4">
        <w:rPr>
          <w:rFonts w:ascii="標楷體" w:eastAsia="標楷體" w:hAnsi="標楷體" w:hint="eastAsia"/>
          <w:sz w:val="20"/>
          <w:lang w:eastAsia="zh-TW"/>
        </w:rPr>
        <w:t xml:space="preserve"> </w:t>
      </w:r>
    </w:p>
    <w:p w:rsidR="00011C77" w:rsidRPr="00C95BA4" w:rsidRDefault="00A70DB7" w:rsidP="00011C77">
      <w:pPr>
        <w:spacing w:line="240" w:lineRule="exact"/>
        <w:ind w:leftChars="415" w:left="996"/>
        <w:jc w:val="both"/>
        <w:rPr>
          <w:rFonts w:ascii="標楷體" w:eastAsia="標楷體" w:hAnsi="標楷體"/>
          <w:sz w:val="20"/>
          <w:lang w:eastAsia="zh-TW"/>
        </w:rPr>
      </w:pPr>
      <w:r w:rsidRPr="00C95BA4">
        <w:rPr>
          <w:rFonts w:ascii="標楷體" w:eastAsia="標楷體" w:hAnsi="標楷體" w:hint="eastAsia"/>
          <w:sz w:val="20"/>
          <w:lang w:eastAsia="zh-TW"/>
        </w:rPr>
        <w:t xml:space="preserve">    </w:t>
      </w:r>
      <w:r w:rsidR="00011C77" w:rsidRPr="00C95BA4">
        <w:rPr>
          <w:rFonts w:ascii="標楷體" w:eastAsia="標楷體" w:hAnsi="標楷體" w:hint="eastAsia"/>
          <w:sz w:val="20"/>
          <w:lang w:eastAsia="zh-TW"/>
        </w:rPr>
        <w:t>低者，且無本條第一項所述之情形，應辦理下列事項：</w:t>
      </w:r>
    </w:p>
    <w:p w:rsidR="00011C77" w:rsidRPr="00193EEF" w:rsidRDefault="00A70DB7" w:rsidP="00011C77">
      <w:pPr>
        <w:spacing w:line="240" w:lineRule="exact"/>
        <w:ind w:leftChars="415" w:left="1396" w:hangingChars="200" w:hanging="400"/>
        <w:jc w:val="both"/>
        <w:rPr>
          <w:rFonts w:ascii="標楷體" w:eastAsia="標楷體" w:hAnsi="標楷體"/>
          <w:color w:val="000000"/>
          <w:sz w:val="20"/>
          <w:lang w:eastAsia="zh-TW"/>
        </w:rPr>
      </w:pPr>
      <w:r w:rsidRPr="00C95BA4">
        <w:rPr>
          <w:rFonts w:ascii="標楷體" w:eastAsia="標楷體" w:hAnsi="標楷體" w:hint="eastAsia"/>
          <w:sz w:val="20"/>
          <w:lang w:eastAsia="zh-TW"/>
        </w:rPr>
        <w:t xml:space="preserve">    </w:t>
      </w:r>
      <w:r w:rsidR="00011C77" w:rsidRPr="00C95BA4">
        <w:rPr>
          <w:rFonts w:ascii="標楷體" w:eastAsia="標楷體" w:hAnsi="標楷體" w:hint="eastAsia"/>
          <w:sz w:val="20"/>
          <w:lang w:eastAsia="zh-TW"/>
        </w:rPr>
        <w:t>一、應就不動產</w:t>
      </w:r>
      <w:r w:rsidRPr="00C95BA4">
        <w:rPr>
          <w:rFonts w:ascii="標楷體" w:eastAsia="標楷體" w:hAnsi="標楷體" w:cs="微軟正黑體"/>
          <w:sz w:val="20"/>
        </w:rPr>
        <w:t>或其使用權資產</w:t>
      </w:r>
      <w:r w:rsidR="00011C77" w:rsidRPr="00C95BA4">
        <w:rPr>
          <w:rFonts w:ascii="標楷體" w:eastAsia="標楷體" w:hAnsi="標楷體" w:hint="eastAsia"/>
          <w:sz w:val="20"/>
          <w:lang w:eastAsia="zh-TW"/>
        </w:rPr>
        <w:t>交易價格與評估成本間之</w:t>
      </w:r>
      <w:r w:rsidR="00011C77" w:rsidRPr="00193EEF">
        <w:rPr>
          <w:rFonts w:ascii="標楷體" w:eastAsia="標楷體" w:hAnsi="標楷體" w:hint="eastAsia"/>
          <w:color w:val="000000"/>
          <w:sz w:val="20"/>
          <w:lang w:eastAsia="zh-TW"/>
        </w:rPr>
        <w:t>差額，依證券交易法第四十一條第一項規定提列特別盈餘公積，不得予以分派或轉增資配股。對本公司之投資採權益法評價之投資者如為公開發行公司，亦應就該提列數額按持股比例依證券交易法第四十一條第一項規定提列特別盈餘公積。</w:t>
      </w:r>
    </w:p>
    <w:p w:rsidR="00011C77" w:rsidRPr="00193EEF" w:rsidRDefault="00A70DB7" w:rsidP="00011C77">
      <w:pPr>
        <w:spacing w:line="240" w:lineRule="exact"/>
        <w:ind w:firstLineChars="500" w:firstLine="1000"/>
        <w:jc w:val="both"/>
        <w:rPr>
          <w:rFonts w:ascii="標楷體" w:eastAsia="標楷體" w:hAnsi="標楷體"/>
          <w:color w:val="000000"/>
          <w:sz w:val="20"/>
          <w:lang w:eastAsia="zh-TW"/>
        </w:rPr>
      </w:pPr>
      <w:r>
        <w:rPr>
          <w:rFonts w:ascii="標楷體" w:eastAsia="標楷體" w:hAnsi="標楷體" w:hint="eastAsia"/>
          <w:color w:val="000000"/>
          <w:sz w:val="20"/>
          <w:lang w:eastAsia="zh-TW"/>
        </w:rPr>
        <w:t xml:space="preserve">    </w:t>
      </w:r>
      <w:r w:rsidR="00011C77" w:rsidRPr="00193EEF">
        <w:rPr>
          <w:rFonts w:ascii="標楷體" w:eastAsia="標楷體" w:hAnsi="標楷體" w:hint="eastAsia"/>
          <w:color w:val="000000"/>
          <w:sz w:val="20"/>
          <w:lang w:eastAsia="zh-TW"/>
        </w:rPr>
        <w:t>二、</w:t>
      </w:r>
      <w:r w:rsidR="004508AB" w:rsidRPr="004508AB">
        <w:rPr>
          <w:rFonts w:ascii="標楷體" w:eastAsia="標楷體" w:hAnsi="標楷體" w:hint="eastAsia"/>
          <w:sz w:val="20"/>
          <w:lang w:eastAsia="zh-TW"/>
        </w:rPr>
        <w:t>公司法第二百一十八條規定</w:t>
      </w:r>
      <w:r w:rsidR="004508AB" w:rsidRPr="004508AB">
        <w:rPr>
          <w:rFonts w:ascii="標楷體" w:eastAsia="標楷體" w:hAnsi="標楷體"/>
          <w:sz w:val="20"/>
          <w:lang w:eastAsia="zh-TW"/>
        </w:rPr>
        <w:t>於審計委員會準用之</w:t>
      </w:r>
      <w:r w:rsidR="004508AB" w:rsidRPr="004508AB">
        <w:rPr>
          <w:rFonts w:ascii="標楷體" w:eastAsia="標楷體" w:hAnsi="標楷體" w:hint="eastAsia"/>
          <w:sz w:val="20"/>
          <w:lang w:eastAsia="zh-TW"/>
        </w:rPr>
        <w:t>。</w:t>
      </w:r>
    </w:p>
    <w:p w:rsidR="00011C77" w:rsidRPr="00193EEF" w:rsidRDefault="00A70DB7" w:rsidP="00011C77">
      <w:pPr>
        <w:spacing w:line="240" w:lineRule="exact"/>
        <w:ind w:leftChars="415" w:left="1396" w:hangingChars="200" w:hanging="400"/>
        <w:jc w:val="both"/>
        <w:rPr>
          <w:rFonts w:ascii="標楷體" w:eastAsia="標楷體" w:hAnsi="標楷體"/>
          <w:color w:val="000000"/>
          <w:sz w:val="20"/>
          <w:lang w:eastAsia="zh-TW"/>
        </w:rPr>
      </w:pPr>
      <w:r>
        <w:rPr>
          <w:rFonts w:ascii="標楷體" w:eastAsia="標楷體" w:hAnsi="標楷體" w:hint="eastAsia"/>
          <w:color w:val="000000"/>
          <w:sz w:val="20"/>
          <w:lang w:eastAsia="zh-TW"/>
        </w:rPr>
        <w:t xml:space="preserve">    </w:t>
      </w:r>
      <w:r w:rsidR="00011C77" w:rsidRPr="00193EEF">
        <w:rPr>
          <w:rFonts w:ascii="標楷體" w:eastAsia="標楷體" w:hAnsi="標楷體" w:hint="eastAsia"/>
          <w:color w:val="000000"/>
          <w:sz w:val="20"/>
          <w:lang w:eastAsia="zh-TW"/>
        </w:rPr>
        <w:t>三、應將第一款及第二款處理情形提報股東會，並將交易詳細內容揭露於年報及公開說明書。</w:t>
      </w:r>
    </w:p>
    <w:p w:rsidR="00011C77" w:rsidRPr="00193EEF" w:rsidRDefault="00011C77" w:rsidP="00011C77">
      <w:pPr>
        <w:spacing w:line="240" w:lineRule="exact"/>
        <w:ind w:leftChars="415" w:left="996"/>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本公司經前述規定提列特別盈餘公積者，應俟高價購入之資產已認列跌價損失或處分或為適當補償或恢復原狀，或有其他證據確定無不合理者，並經證券主管機關同意後，始得動用該特別盈餘公積。</w:t>
      </w:r>
    </w:p>
    <w:p w:rsidR="00011C77" w:rsidRPr="00193EEF" w:rsidRDefault="00011C77" w:rsidP="00011C77">
      <w:pPr>
        <w:spacing w:line="240" w:lineRule="exact"/>
        <w:ind w:leftChars="415" w:left="996"/>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本公司向關係人取得不動產</w:t>
      </w:r>
      <w:r w:rsidR="00A70DB7" w:rsidRPr="00C95BA4">
        <w:rPr>
          <w:rFonts w:ascii="標楷體" w:eastAsia="標楷體" w:hAnsi="標楷體" w:cs="微軟正黑體"/>
          <w:sz w:val="20"/>
        </w:rPr>
        <w:t>或其使用權資產</w:t>
      </w:r>
      <w:r w:rsidRPr="00193EEF">
        <w:rPr>
          <w:rFonts w:ascii="標楷體" w:eastAsia="標楷體" w:hAnsi="標楷體" w:hint="eastAsia"/>
          <w:color w:val="000000"/>
          <w:sz w:val="20"/>
          <w:lang w:eastAsia="zh-TW"/>
        </w:rPr>
        <w:t>，若有其他證據顯示交易有不合營業常規之情事者，亦應依本條第二項及第三項規定辦理。</w:t>
      </w:r>
    </w:p>
    <w:p w:rsidR="00011C77" w:rsidRPr="00193EEF" w:rsidRDefault="00011C77" w:rsidP="00011C77">
      <w:pPr>
        <w:spacing w:line="240" w:lineRule="exact"/>
        <w:jc w:val="both"/>
        <w:rPr>
          <w:rFonts w:ascii="標楷體" w:eastAsia="標楷體" w:hAnsi="標楷體"/>
          <w:color w:val="000000"/>
          <w:sz w:val="20"/>
          <w:lang w:eastAsia="zh-TW"/>
        </w:rPr>
      </w:pPr>
    </w:p>
    <w:p w:rsidR="00011C77" w:rsidRPr="00193EEF" w:rsidRDefault="00011C77" w:rsidP="00011C77">
      <w:pPr>
        <w:spacing w:line="240" w:lineRule="exact"/>
        <w:jc w:val="center"/>
        <w:rPr>
          <w:rFonts w:ascii="標楷體" w:eastAsia="標楷體" w:hAnsi="標楷體"/>
          <w:color w:val="000000"/>
          <w:sz w:val="20"/>
          <w:lang w:eastAsia="zh-TW"/>
        </w:rPr>
      </w:pPr>
      <w:r w:rsidRPr="00193EEF">
        <w:rPr>
          <w:rFonts w:ascii="標楷體" w:eastAsia="標楷體" w:hAnsi="標楷體" w:hint="eastAsia"/>
          <w:color w:val="000000"/>
          <w:sz w:val="20"/>
          <w:lang w:eastAsia="zh-TW"/>
        </w:rPr>
        <w:t>第三章　　衍生性商品交易之控管</w:t>
      </w:r>
    </w:p>
    <w:p w:rsidR="00011C77" w:rsidRPr="00193EEF" w:rsidRDefault="00011C77" w:rsidP="00C87B3A">
      <w:pPr>
        <w:pStyle w:val="a3"/>
        <w:spacing w:beforeLines="50" w:before="180" w:line="240" w:lineRule="exact"/>
        <w:rPr>
          <w:rFonts w:ascii="標楷體" w:eastAsia="標楷體" w:hAnsi="標楷體"/>
          <w:color w:val="000000"/>
          <w:sz w:val="20"/>
          <w:lang w:eastAsia="zh-TW"/>
        </w:rPr>
      </w:pPr>
      <w:r w:rsidRPr="00193EEF">
        <w:rPr>
          <w:rFonts w:ascii="標楷體" w:eastAsia="標楷體" w:hAnsi="標楷體" w:hint="eastAsia"/>
          <w:color w:val="000000"/>
          <w:sz w:val="20"/>
          <w:lang w:eastAsia="zh-TW"/>
        </w:rPr>
        <w:t>第十五條：交易原則與方針</w:t>
      </w:r>
    </w:p>
    <w:p w:rsidR="00011C77" w:rsidRPr="00193EEF" w:rsidRDefault="00011C77" w:rsidP="00011C77">
      <w:pPr>
        <w:spacing w:line="240" w:lineRule="exact"/>
        <w:ind w:firstLineChars="500" w:firstLine="1000"/>
        <w:jc w:val="both"/>
        <w:rPr>
          <w:rFonts w:ascii="標楷體" w:eastAsia="標楷體"/>
          <w:color w:val="000000"/>
          <w:sz w:val="20"/>
          <w:lang w:eastAsia="zh-TW"/>
        </w:rPr>
      </w:pPr>
      <w:r w:rsidRPr="00193EEF">
        <w:rPr>
          <w:rFonts w:ascii="標楷體" w:eastAsia="標楷體" w:hint="eastAsia"/>
          <w:color w:val="000000"/>
          <w:sz w:val="20"/>
          <w:lang w:eastAsia="zh-TW"/>
        </w:rPr>
        <w:t>一、交易種類</w:t>
      </w:r>
    </w:p>
    <w:p w:rsidR="00011C77" w:rsidRPr="00193EEF" w:rsidRDefault="00011C77" w:rsidP="00011C77">
      <w:pPr>
        <w:spacing w:line="240" w:lineRule="exact"/>
        <w:ind w:leftChars="581" w:left="1394"/>
        <w:jc w:val="both"/>
        <w:rPr>
          <w:rFonts w:ascii="標楷體" w:eastAsia="標楷體"/>
          <w:color w:val="000000"/>
          <w:sz w:val="20"/>
          <w:lang w:eastAsia="zh-TW"/>
        </w:rPr>
      </w:pPr>
      <w:r w:rsidRPr="00193EEF">
        <w:rPr>
          <w:rFonts w:ascii="標楷體" w:eastAsia="標楷體" w:hint="eastAsia"/>
          <w:color w:val="000000"/>
          <w:sz w:val="20"/>
          <w:lang w:eastAsia="zh-TW"/>
        </w:rPr>
        <w:t>本公司得從事衍生性商品之種類限於利率及匯率之遠期契約、選擇權及交換</w:t>
      </w:r>
      <w:r w:rsidRPr="00193EEF">
        <w:rPr>
          <w:rFonts w:ascii="標楷體" w:eastAsia="標楷體"/>
          <w:color w:val="000000"/>
          <w:sz w:val="20"/>
          <w:lang w:eastAsia="zh-TW"/>
        </w:rPr>
        <w:t>。</w:t>
      </w:r>
      <w:r w:rsidRPr="00193EEF">
        <w:rPr>
          <w:rFonts w:ascii="標楷體" w:eastAsia="標楷體" w:hint="eastAsia"/>
          <w:color w:val="000000"/>
          <w:sz w:val="20"/>
          <w:lang w:eastAsia="zh-TW"/>
        </w:rPr>
        <w:t>如需從事其他商品交易，應先經董事會決議通過後始得為之。</w:t>
      </w:r>
    </w:p>
    <w:p w:rsidR="00011C77" w:rsidRPr="00193EEF" w:rsidRDefault="00011C77" w:rsidP="00011C77">
      <w:pPr>
        <w:numPr>
          <w:ilvl w:val="0"/>
          <w:numId w:val="1"/>
        </w:numPr>
        <w:suppressAutoHyphens w:val="0"/>
        <w:spacing w:line="240" w:lineRule="exact"/>
        <w:jc w:val="both"/>
        <w:rPr>
          <w:rFonts w:ascii="標楷體" w:eastAsia="標楷體"/>
          <w:color w:val="000000"/>
          <w:sz w:val="20"/>
        </w:rPr>
      </w:pPr>
      <w:r w:rsidRPr="00193EEF">
        <w:rPr>
          <w:rFonts w:ascii="標楷體" w:eastAsia="標楷體" w:hint="eastAsia"/>
          <w:color w:val="000000"/>
          <w:sz w:val="20"/>
        </w:rPr>
        <w:t>經營及避險策略</w:t>
      </w:r>
    </w:p>
    <w:p w:rsidR="00011C77" w:rsidRPr="00193EEF" w:rsidRDefault="00011C77" w:rsidP="00011C77">
      <w:pPr>
        <w:spacing w:line="240" w:lineRule="exact"/>
        <w:ind w:leftChars="581" w:left="1394"/>
        <w:jc w:val="both"/>
        <w:rPr>
          <w:rFonts w:ascii="標楷體" w:eastAsia="標楷體"/>
          <w:color w:val="000000"/>
          <w:sz w:val="20"/>
          <w:lang w:eastAsia="zh-TW"/>
        </w:rPr>
      </w:pPr>
      <w:r w:rsidRPr="00193EEF">
        <w:rPr>
          <w:rFonts w:ascii="標楷體" w:eastAsia="標楷體" w:hint="eastAsia"/>
          <w:color w:val="000000"/>
          <w:sz w:val="20"/>
          <w:lang w:eastAsia="zh-TW"/>
        </w:rPr>
        <w:t>本公司從事衍生性商品交易，原則上應以規避因營運所可能產生之風險為目的，負責人員除了仔細評估公司的可能風險，謹慎從事衍生性商品交易，亦應充分掌握因衍生性商品交易所可能產生之各種風險。</w:t>
      </w:r>
    </w:p>
    <w:p w:rsidR="00011C77" w:rsidRPr="00193EEF" w:rsidRDefault="00011C77" w:rsidP="00011C77">
      <w:pPr>
        <w:numPr>
          <w:ilvl w:val="0"/>
          <w:numId w:val="1"/>
        </w:numPr>
        <w:suppressAutoHyphens w:val="0"/>
        <w:spacing w:line="240" w:lineRule="exact"/>
        <w:jc w:val="both"/>
        <w:rPr>
          <w:rFonts w:ascii="標楷體" w:eastAsia="標楷體"/>
          <w:color w:val="000000"/>
          <w:sz w:val="20"/>
        </w:rPr>
      </w:pPr>
      <w:r w:rsidRPr="00193EEF">
        <w:rPr>
          <w:rFonts w:ascii="標楷體" w:eastAsia="標楷體" w:hint="eastAsia"/>
          <w:color w:val="000000"/>
          <w:sz w:val="20"/>
        </w:rPr>
        <w:t>權責劃分</w:t>
      </w:r>
    </w:p>
    <w:p w:rsidR="00011C77" w:rsidRPr="00193EEF" w:rsidRDefault="00011C77" w:rsidP="00011C77">
      <w:pPr>
        <w:spacing w:line="240" w:lineRule="exact"/>
        <w:ind w:firstLineChars="700" w:firstLine="1400"/>
        <w:jc w:val="both"/>
        <w:rPr>
          <w:rFonts w:ascii="標楷體" w:eastAsia="標楷體"/>
          <w:color w:val="000000"/>
          <w:sz w:val="20"/>
        </w:rPr>
      </w:pPr>
      <w:r w:rsidRPr="00193EEF">
        <w:rPr>
          <w:rFonts w:ascii="標楷體" w:eastAsia="標楷體" w:hint="eastAsia"/>
          <w:color w:val="000000"/>
          <w:sz w:val="20"/>
        </w:rPr>
        <w:t>(1)財務單位</w:t>
      </w:r>
    </w:p>
    <w:p w:rsidR="00011C77" w:rsidRPr="00193EEF" w:rsidRDefault="00011C77" w:rsidP="00011C77">
      <w:pPr>
        <w:spacing w:line="240" w:lineRule="exact"/>
        <w:ind w:firstLineChars="900" w:firstLine="1800"/>
        <w:jc w:val="both"/>
        <w:rPr>
          <w:rFonts w:ascii="標楷體" w:eastAsia="標楷體"/>
          <w:color w:val="000000"/>
          <w:sz w:val="20"/>
          <w:lang w:eastAsia="zh-TW"/>
        </w:rPr>
      </w:pPr>
      <w:r w:rsidRPr="00193EEF">
        <w:rPr>
          <w:rFonts w:ascii="標楷體" w:eastAsia="標楷體" w:hint="eastAsia"/>
          <w:color w:val="000000"/>
          <w:sz w:val="20"/>
          <w:lang w:eastAsia="zh-TW"/>
        </w:rPr>
        <w:t>A.負責整個公司金融商品交易之策略擬定。</w:t>
      </w:r>
    </w:p>
    <w:p w:rsidR="00011C77" w:rsidRPr="00193EEF" w:rsidRDefault="00011C77" w:rsidP="00011C77">
      <w:pPr>
        <w:spacing w:line="240" w:lineRule="exact"/>
        <w:ind w:leftChars="751" w:left="2002" w:hangingChars="100" w:hanging="200"/>
        <w:jc w:val="both"/>
        <w:rPr>
          <w:rFonts w:ascii="標楷體" w:eastAsia="標楷體"/>
          <w:color w:val="000000"/>
          <w:sz w:val="20"/>
          <w:lang w:eastAsia="zh-TW"/>
        </w:rPr>
      </w:pPr>
      <w:r w:rsidRPr="00193EEF">
        <w:rPr>
          <w:rFonts w:ascii="標楷體" w:eastAsia="標楷體" w:hint="eastAsia"/>
          <w:color w:val="000000"/>
          <w:sz w:val="20"/>
          <w:lang w:eastAsia="zh-TW"/>
        </w:rPr>
        <w:t>B.定期計算部位，蒐集市場資訊，進行趨勢判斷及風險評估，擬定操作策略，經由核決權限核准後，作為從事交易之依據。</w:t>
      </w:r>
    </w:p>
    <w:p w:rsidR="00011C77" w:rsidRPr="00193EEF" w:rsidRDefault="00011C77" w:rsidP="00011C77">
      <w:pPr>
        <w:spacing w:line="240" w:lineRule="exact"/>
        <w:ind w:firstLineChars="700" w:firstLine="1400"/>
        <w:jc w:val="both"/>
        <w:rPr>
          <w:rFonts w:ascii="標楷體" w:eastAsia="標楷體"/>
          <w:color w:val="000000"/>
          <w:sz w:val="20"/>
          <w:lang w:eastAsia="zh-TW"/>
        </w:rPr>
      </w:pPr>
      <w:r w:rsidRPr="00193EEF">
        <w:rPr>
          <w:rFonts w:ascii="標楷體" w:eastAsia="標楷體" w:hint="eastAsia"/>
          <w:color w:val="000000"/>
          <w:sz w:val="20"/>
          <w:lang w:eastAsia="zh-TW"/>
        </w:rPr>
        <w:t xml:space="preserve"> (2)會計單位</w:t>
      </w:r>
    </w:p>
    <w:p w:rsidR="00011C77" w:rsidRPr="00193EEF" w:rsidRDefault="00011C77" w:rsidP="00011C77">
      <w:pPr>
        <w:spacing w:line="240" w:lineRule="exact"/>
        <w:ind w:leftChars="177" w:left="425" w:firstLineChars="700" w:firstLine="1400"/>
        <w:jc w:val="both"/>
        <w:rPr>
          <w:rFonts w:ascii="標楷體" w:eastAsia="標楷體"/>
          <w:color w:val="000000"/>
          <w:sz w:val="20"/>
          <w:lang w:eastAsia="zh-TW"/>
        </w:rPr>
      </w:pPr>
      <w:r w:rsidRPr="00193EEF">
        <w:rPr>
          <w:rFonts w:ascii="標楷體" w:eastAsia="標楷體" w:hint="eastAsia"/>
          <w:color w:val="000000"/>
          <w:sz w:val="20"/>
          <w:lang w:eastAsia="zh-TW"/>
        </w:rPr>
        <w:t>A.會計帳務處理。</w:t>
      </w:r>
    </w:p>
    <w:p w:rsidR="00011C77" w:rsidRPr="00193EEF" w:rsidRDefault="00011C77" w:rsidP="00011C77">
      <w:pPr>
        <w:spacing w:line="240" w:lineRule="exact"/>
        <w:ind w:leftChars="177" w:left="425" w:firstLineChars="700" w:firstLine="1400"/>
        <w:jc w:val="both"/>
        <w:rPr>
          <w:rFonts w:ascii="標楷體" w:eastAsia="標楷體"/>
          <w:color w:val="000000"/>
          <w:sz w:val="20"/>
          <w:lang w:eastAsia="zh-TW"/>
        </w:rPr>
      </w:pPr>
      <w:r w:rsidRPr="00193EEF">
        <w:rPr>
          <w:rFonts w:ascii="標楷體" w:eastAsia="標楷體" w:hint="eastAsia"/>
          <w:color w:val="000000"/>
          <w:sz w:val="20"/>
          <w:lang w:eastAsia="zh-TW"/>
        </w:rPr>
        <w:t>B.每月進行評價，評價報告呈核至總經理。</w:t>
      </w:r>
    </w:p>
    <w:p w:rsidR="00011C77" w:rsidRPr="00193EEF" w:rsidRDefault="00011C77" w:rsidP="00011C77">
      <w:pPr>
        <w:spacing w:line="240" w:lineRule="exact"/>
        <w:ind w:firstLineChars="700" w:firstLine="1400"/>
        <w:jc w:val="both"/>
        <w:rPr>
          <w:rFonts w:ascii="標楷體" w:eastAsia="標楷體"/>
          <w:color w:val="000000"/>
          <w:sz w:val="20"/>
          <w:lang w:eastAsia="zh-TW"/>
        </w:rPr>
      </w:pPr>
      <w:r w:rsidRPr="00193EEF">
        <w:rPr>
          <w:rFonts w:ascii="標楷體" w:eastAsia="標楷體" w:hint="eastAsia"/>
          <w:color w:val="000000"/>
          <w:sz w:val="20"/>
          <w:lang w:eastAsia="zh-TW"/>
        </w:rPr>
        <w:t>(3)稽核單位</w:t>
      </w:r>
    </w:p>
    <w:p w:rsidR="00011C77" w:rsidRPr="00193EEF" w:rsidRDefault="00011C77" w:rsidP="00011C77">
      <w:pPr>
        <w:spacing w:line="240" w:lineRule="exact"/>
        <w:ind w:left="1700" w:hangingChars="850" w:hanging="1700"/>
        <w:jc w:val="both"/>
        <w:rPr>
          <w:rFonts w:ascii="標楷體" w:eastAsia="標楷體"/>
          <w:color w:val="000000"/>
          <w:sz w:val="20"/>
          <w:lang w:eastAsia="zh-TW"/>
        </w:rPr>
      </w:pPr>
      <w:r w:rsidRPr="00193EEF">
        <w:rPr>
          <w:rFonts w:ascii="標楷體" w:eastAsia="標楷體" w:hint="eastAsia"/>
          <w:color w:val="000000"/>
          <w:sz w:val="20"/>
          <w:lang w:eastAsia="zh-TW"/>
        </w:rPr>
        <w:t xml:space="preserve">　　　　　　　　 定期稽核衍生性商品交易是否符合既定之交易流程及風險是否在公司容許承受範圍內。</w:t>
      </w:r>
    </w:p>
    <w:p w:rsidR="00011C77" w:rsidRPr="00193EEF" w:rsidRDefault="00011C77" w:rsidP="00011C77">
      <w:pPr>
        <w:spacing w:line="240" w:lineRule="exact"/>
        <w:ind w:firstLineChars="700" w:firstLine="1400"/>
        <w:jc w:val="both"/>
        <w:rPr>
          <w:rFonts w:ascii="標楷體" w:eastAsia="標楷體"/>
          <w:color w:val="000000"/>
          <w:sz w:val="20"/>
          <w:lang w:eastAsia="zh-TW"/>
        </w:rPr>
      </w:pPr>
      <w:r w:rsidRPr="00193EEF">
        <w:rPr>
          <w:rFonts w:ascii="標楷體" w:eastAsia="標楷體" w:hint="eastAsia"/>
          <w:color w:val="000000"/>
          <w:sz w:val="20"/>
          <w:lang w:eastAsia="zh-TW"/>
        </w:rPr>
        <w:t>(4)股務單位</w:t>
      </w:r>
    </w:p>
    <w:p w:rsidR="00011C77" w:rsidRPr="00193EEF" w:rsidRDefault="00011C77" w:rsidP="00011C77">
      <w:pPr>
        <w:spacing w:line="240" w:lineRule="exact"/>
        <w:ind w:leftChars="709" w:left="1702"/>
        <w:jc w:val="both"/>
        <w:rPr>
          <w:rFonts w:ascii="標楷體" w:eastAsia="標楷體"/>
          <w:color w:val="000000"/>
          <w:sz w:val="20"/>
          <w:lang w:eastAsia="zh-TW"/>
        </w:rPr>
      </w:pPr>
      <w:r w:rsidRPr="00193EEF">
        <w:rPr>
          <w:rFonts w:ascii="標楷體" w:eastAsia="標楷體" w:hint="eastAsia"/>
          <w:color w:val="000000"/>
          <w:sz w:val="20"/>
          <w:lang w:eastAsia="zh-TW"/>
        </w:rPr>
        <w:t>依據主管機關規定進行申報及公告。</w:t>
      </w:r>
    </w:p>
    <w:p w:rsidR="00011C77" w:rsidRPr="00193EEF" w:rsidRDefault="00011C77" w:rsidP="00011C77">
      <w:pPr>
        <w:numPr>
          <w:ilvl w:val="0"/>
          <w:numId w:val="1"/>
        </w:numPr>
        <w:suppressAutoHyphens w:val="0"/>
        <w:spacing w:line="240" w:lineRule="exact"/>
        <w:jc w:val="both"/>
        <w:rPr>
          <w:rFonts w:ascii="標楷體" w:eastAsia="標楷體"/>
          <w:color w:val="000000"/>
          <w:sz w:val="20"/>
        </w:rPr>
      </w:pPr>
      <w:r w:rsidRPr="00193EEF">
        <w:rPr>
          <w:rFonts w:ascii="標楷體" w:eastAsia="標楷體" w:hint="eastAsia"/>
          <w:color w:val="000000"/>
          <w:sz w:val="20"/>
        </w:rPr>
        <w:t>衍生性商品核決權限</w:t>
      </w:r>
    </w:p>
    <w:p w:rsidR="00011C77" w:rsidRPr="00193EEF" w:rsidRDefault="00011C77" w:rsidP="00C87B3A">
      <w:pPr>
        <w:spacing w:afterLines="10" w:after="36" w:line="240" w:lineRule="exact"/>
        <w:ind w:left="1406"/>
        <w:jc w:val="both"/>
        <w:rPr>
          <w:rFonts w:ascii="標楷體" w:eastAsia="標楷體"/>
          <w:color w:val="000000"/>
          <w:sz w:val="16"/>
          <w:szCs w:val="16"/>
        </w:rPr>
      </w:pPr>
      <w:r w:rsidRPr="00193EEF">
        <w:rPr>
          <w:rFonts w:ascii="標楷體" w:eastAsia="標楷體" w:hint="eastAsia"/>
          <w:color w:val="000000"/>
          <w:sz w:val="20"/>
        </w:rPr>
        <w:t>(1)以避險性操作為目的</w:t>
      </w:r>
    </w:p>
    <w:tbl>
      <w:tblPr>
        <w:tblW w:w="7888" w:type="dxa"/>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7"/>
        <w:gridCol w:w="2264"/>
        <w:gridCol w:w="2167"/>
        <w:gridCol w:w="2160"/>
      </w:tblGrid>
      <w:tr w:rsidR="00011C77" w:rsidRPr="00193EEF" w:rsidTr="00011C77">
        <w:trPr>
          <w:trHeight w:val="186"/>
        </w:trPr>
        <w:tc>
          <w:tcPr>
            <w:tcW w:w="1297" w:type="dxa"/>
            <w:tcBorders>
              <w:top w:val="thinThickSmallGap" w:sz="24" w:space="0" w:color="auto"/>
            </w:tcBorders>
            <w:shd w:val="pct10" w:color="auto" w:fill="FFFFFF"/>
            <w:vAlign w:val="center"/>
          </w:tcPr>
          <w:p w:rsidR="00011C77" w:rsidRPr="00193EEF" w:rsidRDefault="00011C77" w:rsidP="00011C77">
            <w:pPr>
              <w:spacing w:line="240" w:lineRule="exact"/>
              <w:ind w:left="210" w:right="212"/>
              <w:jc w:val="center"/>
              <w:rPr>
                <w:rFonts w:ascii="標楷體" w:eastAsia="標楷體" w:hAnsi="Arial Unicode MS"/>
                <w:color w:val="000000"/>
                <w:sz w:val="20"/>
              </w:rPr>
            </w:pPr>
            <w:r w:rsidRPr="00193EEF">
              <w:rPr>
                <w:rFonts w:ascii="標楷體" w:eastAsia="標楷體" w:hAnsi="Arial Unicode MS" w:hint="eastAsia"/>
                <w:color w:val="000000"/>
                <w:sz w:val="20"/>
              </w:rPr>
              <w:t>核決權人</w:t>
            </w:r>
          </w:p>
        </w:tc>
        <w:tc>
          <w:tcPr>
            <w:tcW w:w="2264" w:type="dxa"/>
            <w:tcBorders>
              <w:top w:val="thinThickSmallGap" w:sz="24" w:space="0" w:color="auto"/>
            </w:tcBorders>
            <w:shd w:val="pct10" w:color="auto" w:fill="FFFFFF"/>
            <w:vAlign w:val="center"/>
          </w:tcPr>
          <w:p w:rsidR="00011C77" w:rsidRPr="00193EEF" w:rsidRDefault="00011C77" w:rsidP="00011C77">
            <w:pPr>
              <w:spacing w:line="240" w:lineRule="exact"/>
              <w:ind w:left="212" w:right="283"/>
              <w:jc w:val="center"/>
              <w:rPr>
                <w:rFonts w:ascii="標楷體" w:eastAsia="標楷體" w:hAnsi="Arial Unicode MS"/>
                <w:color w:val="000000"/>
                <w:sz w:val="20"/>
              </w:rPr>
            </w:pPr>
            <w:r w:rsidRPr="00193EEF">
              <w:rPr>
                <w:rFonts w:ascii="標楷體" w:eastAsia="標楷體" w:hAnsi="Arial Unicode MS" w:hint="eastAsia"/>
                <w:color w:val="000000"/>
                <w:sz w:val="20"/>
              </w:rPr>
              <w:t>每日交易權限</w:t>
            </w:r>
          </w:p>
        </w:tc>
        <w:tc>
          <w:tcPr>
            <w:tcW w:w="2167" w:type="dxa"/>
            <w:tcBorders>
              <w:top w:val="thinThickSmallGap" w:sz="24" w:space="0" w:color="auto"/>
            </w:tcBorders>
            <w:shd w:val="pct10" w:color="auto" w:fill="FFFFFF"/>
          </w:tcPr>
          <w:p w:rsidR="00011C77" w:rsidRPr="00193EEF" w:rsidRDefault="00011C77" w:rsidP="00011C77">
            <w:pPr>
              <w:spacing w:line="240" w:lineRule="exact"/>
              <w:ind w:left="140" w:right="149"/>
              <w:jc w:val="center"/>
              <w:rPr>
                <w:rFonts w:ascii="標楷體" w:eastAsia="標楷體" w:hAnsi="Arial Unicode MS"/>
                <w:color w:val="000000"/>
                <w:sz w:val="20"/>
              </w:rPr>
            </w:pPr>
            <w:r w:rsidRPr="00193EEF">
              <w:rPr>
                <w:rFonts w:ascii="標楷體" w:eastAsia="標楷體" w:hAnsi="Arial Unicode MS" w:hint="eastAsia"/>
                <w:color w:val="000000"/>
                <w:sz w:val="20"/>
              </w:rPr>
              <w:t>匯率淨累積部位</w:t>
            </w:r>
          </w:p>
          <w:p w:rsidR="00011C77" w:rsidRPr="00193EEF" w:rsidRDefault="00011C77" w:rsidP="00011C77">
            <w:pPr>
              <w:spacing w:line="240" w:lineRule="exact"/>
              <w:ind w:left="140" w:right="149"/>
              <w:jc w:val="center"/>
              <w:rPr>
                <w:rFonts w:ascii="標楷體" w:eastAsia="標楷體" w:hAnsi="Arial Unicode MS"/>
                <w:color w:val="000000"/>
                <w:sz w:val="20"/>
              </w:rPr>
            </w:pPr>
            <w:r w:rsidRPr="00193EEF">
              <w:rPr>
                <w:rFonts w:ascii="標楷體" w:eastAsia="標楷體" w:hAnsi="Arial Unicode MS" w:hint="eastAsia"/>
                <w:color w:val="000000"/>
                <w:sz w:val="20"/>
              </w:rPr>
              <w:t>交易權限</w:t>
            </w:r>
          </w:p>
        </w:tc>
        <w:tc>
          <w:tcPr>
            <w:tcW w:w="2160" w:type="dxa"/>
            <w:tcBorders>
              <w:top w:val="thinThickSmallGap" w:sz="24" w:space="0" w:color="auto"/>
            </w:tcBorders>
            <w:shd w:val="pct10" w:color="auto" w:fill="FFFFFF"/>
          </w:tcPr>
          <w:p w:rsidR="00011C77" w:rsidRPr="00193EEF" w:rsidRDefault="00011C77" w:rsidP="00011C77">
            <w:pPr>
              <w:spacing w:line="240" w:lineRule="exact"/>
              <w:ind w:left="140" w:right="149"/>
              <w:jc w:val="center"/>
              <w:rPr>
                <w:rFonts w:ascii="標楷體" w:eastAsia="標楷體" w:hAnsi="Arial Unicode MS"/>
                <w:color w:val="000000"/>
                <w:sz w:val="20"/>
              </w:rPr>
            </w:pPr>
            <w:r w:rsidRPr="00193EEF">
              <w:rPr>
                <w:rFonts w:ascii="標楷體" w:eastAsia="標楷體" w:hAnsi="Arial Unicode MS" w:hint="eastAsia"/>
                <w:color w:val="000000"/>
                <w:sz w:val="20"/>
              </w:rPr>
              <w:t>利率淨累積部位</w:t>
            </w:r>
          </w:p>
          <w:p w:rsidR="00011C77" w:rsidRPr="00193EEF" w:rsidRDefault="00011C77" w:rsidP="00011C77">
            <w:pPr>
              <w:spacing w:line="240" w:lineRule="exact"/>
              <w:ind w:left="140" w:right="149"/>
              <w:jc w:val="center"/>
              <w:rPr>
                <w:rFonts w:ascii="標楷體" w:eastAsia="標楷體" w:hAnsi="Arial Unicode MS"/>
                <w:color w:val="000000"/>
                <w:sz w:val="20"/>
              </w:rPr>
            </w:pPr>
            <w:r w:rsidRPr="00193EEF">
              <w:rPr>
                <w:rFonts w:ascii="標楷體" w:eastAsia="標楷體" w:hAnsi="Arial Unicode MS" w:hint="eastAsia"/>
                <w:color w:val="000000"/>
                <w:sz w:val="20"/>
              </w:rPr>
              <w:t>交易權限</w:t>
            </w:r>
          </w:p>
        </w:tc>
      </w:tr>
      <w:tr w:rsidR="00011C77" w:rsidRPr="00193EEF" w:rsidTr="00011C77">
        <w:trPr>
          <w:trHeight w:val="186"/>
        </w:trPr>
        <w:tc>
          <w:tcPr>
            <w:tcW w:w="1297" w:type="dxa"/>
          </w:tcPr>
          <w:p w:rsidR="00011C77" w:rsidRPr="00193EEF" w:rsidRDefault="00011C77" w:rsidP="00011C77">
            <w:pPr>
              <w:spacing w:line="240" w:lineRule="exact"/>
              <w:ind w:left="210" w:right="212"/>
              <w:jc w:val="distribute"/>
              <w:rPr>
                <w:rFonts w:ascii="標楷體" w:eastAsia="標楷體" w:hAnsi="Arial Unicode MS"/>
                <w:color w:val="000000"/>
                <w:sz w:val="20"/>
              </w:rPr>
            </w:pPr>
            <w:r w:rsidRPr="00193EEF">
              <w:rPr>
                <w:rFonts w:ascii="標楷體" w:eastAsia="標楷體" w:hAnsi="Arial Unicode MS" w:hint="eastAsia"/>
                <w:color w:val="000000"/>
                <w:sz w:val="20"/>
              </w:rPr>
              <w:t>總經理</w:t>
            </w:r>
          </w:p>
        </w:tc>
        <w:tc>
          <w:tcPr>
            <w:tcW w:w="2264" w:type="dxa"/>
          </w:tcPr>
          <w:p w:rsidR="00011C77" w:rsidRPr="00193EEF" w:rsidRDefault="00011C77" w:rsidP="00011C77">
            <w:pPr>
              <w:spacing w:line="240" w:lineRule="exact"/>
              <w:ind w:left="228" w:right="149"/>
              <w:jc w:val="both"/>
              <w:rPr>
                <w:rFonts w:ascii="標楷體" w:eastAsia="標楷體" w:hAnsi="Arial Unicode MS"/>
                <w:color w:val="000000"/>
                <w:sz w:val="20"/>
              </w:rPr>
            </w:pPr>
            <w:r w:rsidRPr="00193EEF">
              <w:rPr>
                <w:rFonts w:ascii="標楷體" w:eastAsia="標楷體" w:hAnsi="Arial Unicode MS" w:hint="eastAsia"/>
                <w:color w:val="000000"/>
                <w:sz w:val="20"/>
              </w:rPr>
              <w:t>US$200萬以下(含)</w:t>
            </w:r>
          </w:p>
        </w:tc>
        <w:tc>
          <w:tcPr>
            <w:tcW w:w="2167" w:type="dxa"/>
          </w:tcPr>
          <w:p w:rsidR="00011C77" w:rsidRPr="00193EEF" w:rsidRDefault="00011C77" w:rsidP="00011C77">
            <w:pPr>
              <w:spacing w:line="240" w:lineRule="exact"/>
              <w:ind w:left="253" w:right="149"/>
              <w:jc w:val="both"/>
              <w:rPr>
                <w:rFonts w:ascii="標楷體" w:eastAsia="標楷體" w:hAnsi="Arial Unicode MS"/>
                <w:color w:val="000000"/>
                <w:sz w:val="20"/>
              </w:rPr>
            </w:pPr>
            <w:r w:rsidRPr="00193EEF">
              <w:rPr>
                <w:rFonts w:ascii="標楷體" w:eastAsia="標楷體" w:hAnsi="Arial Unicode MS" w:hint="eastAsia"/>
                <w:color w:val="000000"/>
                <w:sz w:val="20"/>
              </w:rPr>
              <w:t>US$500萬以下(含)</w:t>
            </w:r>
          </w:p>
        </w:tc>
        <w:tc>
          <w:tcPr>
            <w:tcW w:w="2160" w:type="dxa"/>
          </w:tcPr>
          <w:p w:rsidR="00011C77" w:rsidRPr="00193EEF" w:rsidRDefault="00011C77" w:rsidP="00011C77">
            <w:pPr>
              <w:spacing w:line="240" w:lineRule="exact"/>
              <w:ind w:left="253" w:right="149"/>
              <w:jc w:val="both"/>
              <w:rPr>
                <w:rFonts w:ascii="標楷體" w:eastAsia="標楷體" w:hAnsi="Arial Unicode MS"/>
                <w:color w:val="000000"/>
                <w:sz w:val="20"/>
              </w:rPr>
            </w:pPr>
            <w:r w:rsidRPr="00193EEF">
              <w:rPr>
                <w:rFonts w:ascii="標楷體" w:eastAsia="標楷體" w:hAnsi="Arial Unicode MS" w:hint="eastAsia"/>
                <w:color w:val="000000"/>
                <w:sz w:val="20"/>
              </w:rPr>
              <w:t>台幣1億(含)</w:t>
            </w:r>
          </w:p>
        </w:tc>
      </w:tr>
      <w:tr w:rsidR="00011C77" w:rsidRPr="00193EEF" w:rsidTr="00011C77">
        <w:trPr>
          <w:trHeight w:val="186"/>
        </w:trPr>
        <w:tc>
          <w:tcPr>
            <w:tcW w:w="1297" w:type="dxa"/>
          </w:tcPr>
          <w:p w:rsidR="00011C77" w:rsidRPr="00193EEF" w:rsidRDefault="00011C77" w:rsidP="00011C77">
            <w:pPr>
              <w:spacing w:line="240" w:lineRule="exact"/>
              <w:ind w:left="210" w:right="212"/>
              <w:jc w:val="distribute"/>
              <w:rPr>
                <w:rFonts w:ascii="標楷體" w:eastAsia="標楷體" w:hAnsi="Arial Unicode MS"/>
                <w:color w:val="000000"/>
                <w:sz w:val="20"/>
              </w:rPr>
            </w:pPr>
            <w:r w:rsidRPr="00193EEF">
              <w:rPr>
                <w:rFonts w:ascii="標楷體" w:eastAsia="標楷體" w:hAnsi="Arial Unicode MS" w:hint="eastAsia"/>
                <w:color w:val="000000"/>
                <w:sz w:val="20"/>
              </w:rPr>
              <w:t>董事長</w:t>
            </w:r>
          </w:p>
        </w:tc>
        <w:tc>
          <w:tcPr>
            <w:tcW w:w="2264" w:type="dxa"/>
          </w:tcPr>
          <w:p w:rsidR="00011C77" w:rsidRPr="00193EEF" w:rsidRDefault="00011C77" w:rsidP="00011C77">
            <w:pPr>
              <w:spacing w:line="240" w:lineRule="exact"/>
              <w:ind w:left="228" w:right="149"/>
              <w:rPr>
                <w:rFonts w:ascii="標楷體" w:eastAsia="標楷體" w:hAnsi="Arial Unicode MS"/>
                <w:color w:val="000000"/>
                <w:sz w:val="20"/>
              </w:rPr>
            </w:pPr>
            <w:r w:rsidRPr="00193EEF">
              <w:rPr>
                <w:rFonts w:ascii="標楷體" w:eastAsia="標楷體" w:hAnsi="Arial Unicode MS" w:hint="eastAsia"/>
                <w:color w:val="000000"/>
                <w:sz w:val="20"/>
              </w:rPr>
              <w:t>USD200-500萬(含)</w:t>
            </w:r>
          </w:p>
        </w:tc>
        <w:tc>
          <w:tcPr>
            <w:tcW w:w="2167" w:type="dxa"/>
          </w:tcPr>
          <w:p w:rsidR="00011C77" w:rsidRPr="00193EEF" w:rsidRDefault="00011C77" w:rsidP="00011C77">
            <w:pPr>
              <w:spacing w:line="240" w:lineRule="exact"/>
              <w:ind w:left="253" w:right="149"/>
              <w:jc w:val="both"/>
              <w:rPr>
                <w:rFonts w:ascii="標楷體" w:eastAsia="標楷體" w:hAnsi="Arial Unicode MS"/>
                <w:color w:val="000000"/>
                <w:sz w:val="20"/>
              </w:rPr>
            </w:pPr>
            <w:r w:rsidRPr="00193EEF">
              <w:rPr>
                <w:rFonts w:ascii="標楷體" w:eastAsia="標楷體" w:hAnsi="Arial Unicode MS" w:hint="eastAsia"/>
                <w:color w:val="000000"/>
                <w:sz w:val="20"/>
              </w:rPr>
              <w:t>USD500-800萬(含)</w:t>
            </w:r>
          </w:p>
        </w:tc>
        <w:tc>
          <w:tcPr>
            <w:tcW w:w="2160" w:type="dxa"/>
          </w:tcPr>
          <w:p w:rsidR="00011C77" w:rsidRPr="00193EEF" w:rsidRDefault="00011C77" w:rsidP="00011C77">
            <w:pPr>
              <w:spacing w:line="240" w:lineRule="exact"/>
              <w:ind w:left="253" w:right="149"/>
              <w:jc w:val="both"/>
              <w:rPr>
                <w:rFonts w:ascii="標楷體" w:eastAsia="標楷體" w:hAnsi="Arial Unicode MS"/>
                <w:color w:val="000000"/>
                <w:sz w:val="20"/>
              </w:rPr>
            </w:pPr>
            <w:r w:rsidRPr="00193EEF">
              <w:rPr>
                <w:rFonts w:ascii="標楷體" w:eastAsia="標楷體" w:hAnsi="Arial Unicode MS" w:hint="eastAsia"/>
                <w:color w:val="000000"/>
                <w:sz w:val="20"/>
              </w:rPr>
              <w:t>台幣1-3億(含)</w:t>
            </w:r>
          </w:p>
        </w:tc>
      </w:tr>
      <w:tr w:rsidR="00011C77" w:rsidRPr="00193EEF" w:rsidTr="00011C77">
        <w:trPr>
          <w:trHeight w:val="186"/>
        </w:trPr>
        <w:tc>
          <w:tcPr>
            <w:tcW w:w="1297" w:type="dxa"/>
          </w:tcPr>
          <w:p w:rsidR="00011C77" w:rsidRPr="00193EEF" w:rsidRDefault="00011C77" w:rsidP="00011C77">
            <w:pPr>
              <w:spacing w:line="240" w:lineRule="exact"/>
              <w:ind w:left="210" w:right="212"/>
              <w:jc w:val="distribute"/>
              <w:rPr>
                <w:rFonts w:ascii="標楷體" w:eastAsia="標楷體" w:hAnsi="Arial Unicode MS"/>
                <w:color w:val="000000"/>
                <w:sz w:val="20"/>
              </w:rPr>
            </w:pPr>
            <w:r w:rsidRPr="00193EEF">
              <w:rPr>
                <w:rFonts w:ascii="標楷體" w:eastAsia="標楷體" w:hAnsi="Arial Unicode MS" w:hint="eastAsia"/>
                <w:color w:val="000000"/>
                <w:sz w:val="20"/>
              </w:rPr>
              <w:t>董事會</w:t>
            </w:r>
          </w:p>
        </w:tc>
        <w:tc>
          <w:tcPr>
            <w:tcW w:w="2264" w:type="dxa"/>
          </w:tcPr>
          <w:p w:rsidR="00011C77" w:rsidRPr="00193EEF" w:rsidRDefault="00011C77" w:rsidP="00011C77">
            <w:pPr>
              <w:spacing w:line="240" w:lineRule="exact"/>
              <w:ind w:left="228" w:right="149"/>
              <w:rPr>
                <w:rFonts w:ascii="標楷體" w:eastAsia="標楷體" w:hAnsi="Arial Unicode MS"/>
                <w:color w:val="000000"/>
                <w:sz w:val="20"/>
              </w:rPr>
            </w:pPr>
            <w:r w:rsidRPr="00193EEF">
              <w:rPr>
                <w:rFonts w:ascii="標楷體" w:eastAsia="標楷體" w:hAnsi="Arial Unicode MS" w:hint="eastAsia"/>
                <w:color w:val="000000"/>
                <w:sz w:val="20"/>
              </w:rPr>
              <w:t>US$500萬以上</w:t>
            </w:r>
          </w:p>
        </w:tc>
        <w:tc>
          <w:tcPr>
            <w:tcW w:w="2167" w:type="dxa"/>
          </w:tcPr>
          <w:p w:rsidR="00011C77" w:rsidRPr="00193EEF" w:rsidRDefault="00011C77" w:rsidP="00011C77">
            <w:pPr>
              <w:spacing w:line="240" w:lineRule="exact"/>
              <w:ind w:left="253" w:right="149"/>
              <w:jc w:val="both"/>
              <w:rPr>
                <w:rFonts w:ascii="標楷體" w:eastAsia="標楷體" w:hAnsi="Arial Unicode MS"/>
                <w:color w:val="000000"/>
                <w:sz w:val="20"/>
              </w:rPr>
            </w:pPr>
            <w:r w:rsidRPr="00193EEF">
              <w:rPr>
                <w:rFonts w:ascii="標楷體" w:eastAsia="標楷體" w:hAnsi="Arial Unicode MS" w:hint="eastAsia"/>
                <w:color w:val="000000"/>
                <w:sz w:val="20"/>
              </w:rPr>
              <w:t>US$800萬以上</w:t>
            </w:r>
          </w:p>
        </w:tc>
        <w:tc>
          <w:tcPr>
            <w:tcW w:w="2160" w:type="dxa"/>
          </w:tcPr>
          <w:p w:rsidR="00011C77" w:rsidRPr="00193EEF" w:rsidRDefault="00011C77" w:rsidP="00011C77">
            <w:pPr>
              <w:spacing w:line="240" w:lineRule="exact"/>
              <w:ind w:left="253" w:right="149"/>
              <w:jc w:val="both"/>
              <w:rPr>
                <w:rFonts w:ascii="標楷體" w:eastAsia="標楷體" w:hAnsi="Arial Unicode MS"/>
                <w:color w:val="000000"/>
                <w:sz w:val="20"/>
              </w:rPr>
            </w:pPr>
            <w:r w:rsidRPr="00193EEF">
              <w:rPr>
                <w:rFonts w:ascii="標楷體" w:eastAsia="標楷體" w:hAnsi="Arial Unicode MS" w:hint="eastAsia"/>
                <w:color w:val="000000"/>
                <w:sz w:val="20"/>
              </w:rPr>
              <w:t>台幣3億以上</w:t>
            </w:r>
          </w:p>
        </w:tc>
      </w:tr>
    </w:tbl>
    <w:p w:rsidR="00011C77" w:rsidRPr="00193EEF" w:rsidRDefault="00011C77" w:rsidP="00011C77">
      <w:pPr>
        <w:spacing w:line="240" w:lineRule="exact"/>
        <w:ind w:leftChars="177" w:left="425" w:firstLineChars="300" w:firstLine="600"/>
        <w:jc w:val="both"/>
        <w:rPr>
          <w:rFonts w:ascii="標楷體" w:eastAsia="標楷體"/>
          <w:color w:val="000000"/>
          <w:sz w:val="20"/>
        </w:rPr>
      </w:pPr>
      <w:r w:rsidRPr="00193EEF">
        <w:rPr>
          <w:rFonts w:ascii="標楷體" w:eastAsia="標楷體" w:hint="eastAsia"/>
          <w:color w:val="000000"/>
          <w:sz w:val="20"/>
        </w:rPr>
        <w:t xml:space="preserve">    (2)以金融性操作為目的</w:t>
      </w:r>
    </w:p>
    <w:p w:rsidR="00011C77" w:rsidRPr="00193EEF" w:rsidRDefault="00011C77" w:rsidP="00011C77">
      <w:pPr>
        <w:spacing w:line="240" w:lineRule="exact"/>
        <w:ind w:leftChars="427" w:left="1725" w:hangingChars="350" w:hanging="700"/>
        <w:jc w:val="both"/>
        <w:rPr>
          <w:rFonts w:ascii="標楷體" w:eastAsia="標楷體"/>
          <w:color w:val="000000"/>
          <w:sz w:val="20"/>
          <w:lang w:eastAsia="zh-TW"/>
        </w:rPr>
      </w:pPr>
      <w:r w:rsidRPr="00193EEF">
        <w:rPr>
          <w:rFonts w:ascii="標楷體" w:eastAsia="標楷體" w:hint="eastAsia"/>
          <w:color w:val="000000"/>
          <w:sz w:val="20"/>
          <w:lang w:eastAsia="zh-TW"/>
        </w:rPr>
        <w:lastRenderedPageBreak/>
        <w:t xml:space="preserve">       其金額在美金貳佰萬元(含)以下者，呈請董事長核准；其金額超過美金貳佰萬元時，另須提董事會通過後始得為之。</w:t>
      </w:r>
    </w:p>
    <w:p w:rsidR="00011C77" w:rsidRPr="00193EEF" w:rsidRDefault="00011C77" w:rsidP="00011C77">
      <w:pPr>
        <w:spacing w:line="240" w:lineRule="exact"/>
        <w:ind w:leftChars="177" w:left="425" w:firstLineChars="300" w:firstLine="600"/>
        <w:jc w:val="both"/>
        <w:rPr>
          <w:rFonts w:ascii="標楷體" w:eastAsia="標楷體"/>
          <w:color w:val="000000"/>
          <w:sz w:val="20"/>
          <w:lang w:eastAsia="zh-TW"/>
        </w:rPr>
      </w:pPr>
      <w:r w:rsidRPr="00193EEF">
        <w:rPr>
          <w:rFonts w:ascii="標楷體" w:eastAsia="標楷體" w:hint="eastAsia"/>
          <w:color w:val="000000"/>
          <w:sz w:val="20"/>
          <w:lang w:eastAsia="zh-TW"/>
        </w:rPr>
        <w:t>五、契約總額及損失上限之訂定</w:t>
      </w:r>
    </w:p>
    <w:p w:rsidR="00011C77" w:rsidRPr="00193EEF" w:rsidRDefault="00011C77" w:rsidP="00011C77">
      <w:pPr>
        <w:snapToGrid w:val="0"/>
        <w:spacing w:line="240" w:lineRule="exact"/>
        <w:ind w:leftChars="584" w:left="1702" w:right="-51" w:hangingChars="150" w:hanging="300"/>
        <w:jc w:val="both"/>
        <w:rPr>
          <w:rFonts w:ascii="標楷體" w:eastAsia="標楷體"/>
          <w:color w:val="000000"/>
          <w:sz w:val="20"/>
          <w:lang w:eastAsia="zh-TW"/>
        </w:rPr>
      </w:pPr>
      <w:r w:rsidRPr="00193EEF">
        <w:rPr>
          <w:rFonts w:ascii="標楷體" w:eastAsia="標楷體" w:hint="eastAsia"/>
          <w:color w:val="000000"/>
          <w:sz w:val="20"/>
          <w:lang w:eastAsia="zh-TW"/>
        </w:rPr>
        <w:t>(1)契約總額，以當年度六個月之進、出口需求為原則，超過六個月之部位需求應經董事會授權董事長核准。</w:t>
      </w:r>
    </w:p>
    <w:p w:rsidR="00011C77" w:rsidRPr="00193EEF" w:rsidRDefault="00011C77" w:rsidP="00011C77">
      <w:pPr>
        <w:snapToGrid w:val="0"/>
        <w:spacing w:line="240" w:lineRule="exact"/>
        <w:ind w:right="-51" w:firstLineChars="700" w:firstLine="1400"/>
        <w:jc w:val="both"/>
        <w:rPr>
          <w:rFonts w:ascii="標楷體" w:eastAsia="標楷體"/>
          <w:color w:val="000000"/>
          <w:sz w:val="20"/>
          <w:lang w:eastAsia="zh-TW"/>
        </w:rPr>
      </w:pPr>
      <w:r w:rsidRPr="00193EEF">
        <w:rPr>
          <w:rFonts w:ascii="標楷體" w:eastAsia="標楷體" w:hint="eastAsia"/>
          <w:color w:val="000000"/>
          <w:sz w:val="20"/>
          <w:lang w:eastAsia="zh-TW"/>
        </w:rPr>
        <w:t>(2)損失上限之訂定</w:t>
      </w:r>
    </w:p>
    <w:p w:rsidR="00011C77" w:rsidRPr="00193EEF" w:rsidRDefault="00011C77" w:rsidP="00011C77">
      <w:pPr>
        <w:pStyle w:val="3"/>
        <w:spacing w:line="240" w:lineRule="exact"/>
        <w:ind w:leftChars="706" w:left="1694" w:firstLine="0"/>
        <w:jc w:val="both"/>
        <w:rPr>
          <w:rFonts w:ascii="標楷體" w:eastAsia="標楷體"/>
          <w:color w:val="000000"/>
          <w:sz w:val="20"/>
          <w:lang w:eastAsia="zh-TW"/>
        </w:rPr>
      </w:pPr>
      <w:r w:rsidRPr="00193EEF">
        <w:rPr>
          <w:rFonts w:ascii="標楷體" w:eastAsia="標楷體" w:hint="eastAsia"/>
          <w:color w:val="000000"/>
          <w:sz w:val="20"/>
          <w:lang w:eastAsia="zh-TW"/>
        </w:rPr>
        <w:t>個別契約損失金額以不超過美金伍萬元或交易合約金額百分之五何者為低之金額為損失上限。全部契約損失最高限額為美金壹拾伍萬元。</w:t>
      </w:r>
    </w:p>
    <w:p w:rsidR="00011C77" w:rsidRPr="00193EEF" w:rsidRDefault="00011C77" w:rsidP="00011C77">
      <w:pPr>
        <w:spacing w:line="240" w:lineRule="exact"/>
        <w:ind w:firstLineChars="500" w:firstLine="1000"/>
        <w:jc w:val="both"/>
        <w:rPr>
          <w:rFonts w:ascii="標楷體" w:eastAsia="標楷體"/>
          <w:color w:val="000000"/>
          <w:sz w:val="20"/>
          <w:lang w:eastAsia="zh-TW"/>
        </w:rPr>
      </w:pPr>
      <w:r w:rsidRPr="00193EEF">
        <w:rPr>
          <w:rFonts w:ascii="標楷體" w:eastAsia="標楷體" w:hint="eastAsia"/>
          <w:color w:val="000000"/>
          <w:sz w:val="20"/>
          <w:lang w:eastAsia="zh-TW"/>
        </w:rPr>
        <w:t>六、績效評估</w:t>
      </w:r>
    </w:p>
    <w:p w:rsidR="00011C77" w:rsidRPr="00193EEF" w:rsidRDefault="00011C77" w:rsidP="00011C77">
      <w:pPr>
        <w:snapToGrid w:val="0"/>
        <w:spacing w:line="240" w:lineRule="exact"/>
        <w:ind w:leftChars="584" w:left="1702" w:hangingChars="150" w:hanging="300"/>
        <w:jc w:val="both"/>
        <w:rPr>
          <w:rFonts w:ascii="標楷體" w:eastAsia="標楷體"/>
          <w:color w:val="000000"/>
          <w:sz w:val="20"/>
          <w:lang w:eastAsia="zh-TW"/>
        </w:rPr>
      </w:pPr>
      <w:r w:rsidRPr="00193EEF">
        <w:rPr>
          <w:rFonts w:ascii="標楷體" w:eastAsia="標楷體" w:hint="eastAsia"/>
          <w:color w:val="000000"/>
          <w:sz w:val="20"/>
          <w:lang w:eastAsia="zh-TW"/>
        </w:rPr>
        <w:t>(1)以避險性操作為目的</w:t>
      </w:r>
    </w:p>
    <w:p w:rsidR="00011C77" w:rsidRPr="00193EEF" w:rsidRDefault="00011C77" w:rsidP="00011C77">
      <w:pPr>
        <w:snapToGrid w:val="0"/>
        <w:spacing w:line="240" w:lineRule="exact"/>
        <w:ind w:leftChars="751" w:left="2002" w:hangingChars="100" w:hanging="200"/>
        <w:jc w:val="both"/>
        <w:rPr>
          <w:rFonts w:ascii="標楷體" w:eastAsia="標楷體"/>
          <w:color w:val="000000"/>
          <w:sz w:val="20"/>
          <w:lang w:eastAsia="zh-TW"/>
        </w:rPr>
      </w:pPr>
      <w:r w:rsidRPr="00193EEF">
        <w:rPr>
          <w:rFonts w:ascii="標楷體" w:eastAsia="標楷體" w:hint="eastAsia"/>
          <w:color w:val="000000"/>
          <w:sz w:val="20"/>
          <w:lang w:eastAsia="zh-TW"/>
        </w:rPr>
        <w:t>A.以公司帳面上匯率成本與從事衍生性金融交易之間所產生損益為績效評估基礎。</w:t>
      </w:r>
    </w:p>
    <w:p w:rsidR="00011C77" w:rsidRPr="00193EEF" w:rsidRDefault="00011C77" w:rsidP="00011C77">
      <w:pPr>
        <w:snapToGrid w:val="0"/>
        <w:spacing w:line="240" w:lineRule="exact"/>
        <w:ind w:firstLineChars="900" w:firstLine="1800"/>
        <w:jc w:val="both"/>
        <w:rPr>
          <w:rFonts w:ascii="標楷體" w:eastAsia="標楷體"/>
          <w:color w:val="000000"/>
          <w:sz w:val="20"/>
          <w:lang w:eastAsia="zh-TW"/>
        </w:rPr>
      </w:pPr>
      <w:r w:rsidRPr="00193EEF">
        <w:rPr>
          <w:rFonts w:ascii="標楷體" w:eastAsia="標楷體" w:hint="eastAsia"/>
          <w:color w:val="000000"/>
          <w:sz w:val="20"/>
          <w:lang w:eastAsia="zh-TW"/>
        </w:rPr>
        <w:t>B.為充份掌握及表達交易之評價風險，本公司採月結評價方式評估損益。</w:t>
      </w:r>
    </w:p>
    <w:p w:rsidR="00011C77" w:rsidRPr="00193EEF" w:rsidRDefault="00011C77" w:rsidP="00011C77">
      <w:pPr>
        <w:snapToGrid w:val="0"/>
        <w:spacing w:line="240" w:lineRule="exact"/>
        <w:jc w:val="both"/>
        <w:rPr>
          <w:rFonts w:ascii="標楷體" w:eastAsia="標楷體"/>
          <w:color w:val="000000"/>
          <w:sz w:val="20"/>
          <w:lang w:eastAsia="zh-TW"/>
        </w:rPr>
      </w:pPr>
      <w:r w:rsidRPr="00193EEF">
        <w:rPr>
          <w:rFonts w:ascii="標楷體" w:eastAsia="標楷體" w:hint="eastAsia"/>
          <w:color w:val="000000"/>
          <w:sz w:val="20"/>
          <w:lang w:eastAsia="zh-TW"/>
        </w:rPr>
        <w:t xml:space="preserve">              (2)以金融性操作為目的</w:t>
      </w:r>
    </w:p>
    <w:p w:rsidR="00011C77" w:rsidRPr="00193EEF" w:rsidRDefault="00011C77" w:rsidP="00011C77">
      <w:pPr>
        <w:spacing w:line="240" w:lineRule="exact"/>
        <w:ind w:leftChars="709" w:left="1702"/>
        <w:jc w:val="both"/>
        <w:rPr>
          <w:rFonts w:ascii="標楷體" w:eastAsia="標楷體" w:hAnsi="Wingdings" w:hint="eastAsia"/>
          <w:color w:val="000000"/>
          <w:sz w:val="20"/>
          <w:lang w:eastAsia="zh-TW"/>
        </w:rPr>
      </w:pPr>
      <w:r w:rsidRPr="00193EEF">
        <w:rPr>
          <w:rFonts w:ascii="標楷體" w:eastAsia="標楷體" w:hAnsi="Wingdings" w:hint="eastAsia"/>
          <w:color w:val="000000"/>
          <w:sz w:val="20"/>
          <w:lang w:eastAsia="zh-TW"/>
        </w:rPr>
        <w:t>以實際所產生損益為績效評估依據，且會計人員須定期將部位編製報表以提供管理階層參考。</w:t>
      </w:r>
    </w:p>
    <w:p w:rsidR="00011C77" w:rsidRPr="00193EEF" w:rsidRDefault="00011C77" w:rsidP="00C87B3A">
      <w:pPr>
        <w:spacing w:beforeLines="50" w:before="180" w:line="240" w:lineRule="exact"/>
        <w:jc w:val="both"/>
        <w:rPr>
          <w:rFonts w:ascii="標楷體" w:eastAsia="標楷體"/>
          <w:color w:val="000000"/>
          <w:sz w:val="20"/>
          <w:lang w:eastAsia="zh-TW"/>
        </w:rPr>
      </w:pPr>
      <w:r w:rsidRPr="00193EEF">
        <w:rPr>
          <w:rFonts w:ascii="標楷體" w:eastAsia="標楷體" w:hint="eastAsia"/>
          <w:color w:val="000000"/>
          <w:sz w:val="20"/>
          <w:lang w:eastAsia="zh-TW"/>
        </w:rPr>
        <w:t>第十六條：風險管理措施</w:t>
      </w:r>
    </w:p>
    <w:p w:rsidR="00011C77" w:rsidRPr="00193EEF" w:rsidRDefault="00011C77" w:rsidP="00011C77">
      <w:pPr>
        <w:snapToGrid w:val="0"/>
        <w:spacing w:line="240" w:lineRule="exact"/>
        <w:ind w:rightChars="-21" w:right="-50" w:firstLineChars="500" w:firstLine="1000"/>
        <w:jc w:val="both"/>
        <w:rPr>
          <w:rFonts w:ascii="標楷體" w:eastAsia="標楷體"/>
          <w:color w:val="000000"/>
          <w:sz w:val="20"/>
          <w:lang w:eastAsia="zh-TW"/>
        </w:rPr>
      </w:pPr>
      <w:r w:rsidRPr="00193EEF">
        <w:rPr>
          <w:rFonts w:ascii="標楷體" w:eastAsia="標楷體" w:hint="eastAsia"/>
          <w:color w:val="000000"/>
          <w:sz w:val="20"/>
          <w:lang w:eastAsia="zh-TW"/>
        </w:rPr>
        <w:t>一、信用風險之考量</w:t>
      </w:r>
    </w:p>
    <w:p w:rsidR="00011C77" w:rsidRPr="00193EEF" w:rsidRDefault="00011C77" w:rsidP="00011C77">
      <w:pPr>
        <w:pStyle w:val="a5"/>
        <w:rPr>
          <w:color w:val="000000"/>
          <w:lang w:eastAsia="zh-TW"/>
        </w:rPr>
      </w:pPr>
      <w:r w:rsidRPr="00193EEF">
        <w:rPr>
          <w:rFonts w:hint="eastAsia"/>
          <w:color w:val="000000"/>
          <w:lang w:eastAsia="zh-TW"/>
        </w:rPr>
        <w:t>(1)</w:t>
      </w:r>
      <w:r w:rsidRPr="00193EEF">
        <w:rPr>
          <w:rFonts w:hint="eastAsia"/>
          <w:color w:val="000000"/>
          <w:lang w:eastAsia="zh-TW"/>
        </w:rPr>
        <w:t>交易對象：以國內外著名金融機構為主。</w:t>
      </w:r>
    </w:p>
    <w:p w:rsidR="00011C77" w:rsidRPr="00193EEF" w:rsidRDefault="00011C77" w:rsidP="00011C77">
      <w:pPr>
        <w:pStyle w:val="a5"/>
        <w:rPr>
          <w:color w:val="000000"/>
          <w:lang w:eastAsia="zh-TW"/>
        </w:rPr>
      </w:pPr>
      <w:r w:rsidRPr="00193EEF">
        <w:rPr>
          <w:rFonts w:hint="eastAsia"/>
          <w:color w:val="000000"/>
          <w:lang w:eastAsia="zh-TW"/>
        </w:rPr>
        <w:t>(2)</w:t>
      </w:r>
      <w:r w:rsidRPr="00193EEF">
        <w:rPr>
          <w:rFonts w:hint="eastAsia"/>
          <w:color w:val="000000"/>
          <w:lang w:eastAsia="zh-TW"/>
        </w:rPr>
        <w:t>交易商品：以國內外著名金融機構提供之商品為限。</w:t>
      </w:r>
    </w:p>
    <w:p w:rsidR="00011C77" w:rsidRPr="00193EEF" w:rsidRDefault="00011C77" w:rsidP="00011C77">
      <w:pPr>
        <w:pStyle w:val="a5"/>
        <w:rPr>
          <w:color w:val="000000"/>
          <w:lang w:eastAsia="zh-TW"/>
        </w:rPr>
      </w:pPr>
      <w:r w:rsidRPr="00193EEF">
        <w:rPr>
          <w:rFonts w:hint="eastAsia"/>
          <w:color w:val="000000"/>
          <w:lang w:eastAsia="zh-TW"/>
        </w:rPr>
        <w:t>(3)</w:t>
      </w:r>
      <w:r w:rsidRPr="00193EEF">
        <w:rPr>
          <w:rFonts w:hint="eastAsia"/>
          <w:color w:val="000000"/>
          <w:lang w:eastAsia="zh-TW"/>
        </w:rPr>
        <w:t>交易金額：同一交易對象之未沖銷交易金額，以不超過授權總額</w:t>
      </w:r>
      <w:r w:rsidRPr="00193EEF">
        <w:rPr>
          <w:rFonts w:hint="eastAsia"/>
          <w:color w:val="000000"/>
          <w:kern w:val="2"/>
          <w:lang w:eastAsia="zh-TW"/>
        </w:rPr>
        <w:t>百分之二十為限，但董事長核准者則不在此限。</w:t>
      </w:r>
    </w:p>
    <w:p w:rsidR="00011C77" w:rsidRPr="00193EEF" w:rsidRDefault="00011C77" w:rsidP="00011C77">
      <w:pPr>
        <w:snapToGrid w:val="0"/>
        <w:spacing w:line="240" w:lineRule="exact"/>
        <w:ind w:leftChars="415" w:left="1396" w:right="-51" w:hangingChars="200" w:hanging="400"/>
        <w:jc w:val="both"/>
        <w:rPr>
          <w:color w:val="000000"/>
          <w:lang w:eastAsia="zh-TW"/>
        </w:rPr>
      </w:pPr>
      <w:r w:rsidRPr="00193EEF">
        <w:rPr>
          <w:rFonts w:ascii="標楷體" w:eastAsia="標楷體" w:hint="eastAsia"/>
          <w:color w:val="000000"/>
          <w:sz w:val="20"/>
          <w:lang w:eastAsia="zh-TW"/>
        </w:rPr>
        <w:t>二、市場風險管理：</w:t>
      </w:r>
      <w:r w:rsidRPr="00193EEF">
        <w:rPr>
          <w:rFonts w:ascii="標楷體" w:eastAsia="標楷體" w:hAnsi="標楷體" w:hint="eastAsia"/>
          <w:color w:val="000000"/>
          <w:sz w:val="20"/>
          <w:lang w:eastAsia="zh-TW"/>
        </w:rPr>
        <w:t>以銀行及券商提供之公開外匯、利率交易市場為主，佔不考慮期貨市場。</w:t>
      </w:r>
    </w:p>
    <w:p w:rsidR="00011C77" w:rsidRPr="00193EEF" w:rsidRDefault="00011C77" w:rsidP="00011C77">
      <w:pPr>
        <w:snapToGrid w:val="0"/>
        <w:spacing w:line="240" w:lineRule="exact"/>
        <w:ind w:leftChars="415" w:left="1396" w:right="-51" w:hangingChars="200" w:hanging="400"/>
        <w:jc w:val="both"/>
        <w:rPr>
          <w:color w:val="000000"/>
          <w:lang w:eastAsia="zh-TW"/>
        </w:rPr>
      </w:pPr>
      <w:r w:rsidRPr="00193EEF">
        <w:rPr>
          <w:rFonts w:ascii="標楷體" w:eastAsia="標楷體" w:hint="eastAsia"/>
          <w:color w:val="000000"/>
          <w:sz w:val="20"/>
          <w:lang w:eastAsia="zh-TW"/>
        </w:rPr>
        <w:t>三、流動性風險管理:</w:t>
      </w:r>
      <w:r w:rsidRPr="00193EEF">
        <w:rPr>
          <w:rFonts w:ascii="標楷體" w:eastAsia="標楷體" w:hAnsi="標楷體" w:hint="eastAsia"/>
          <w:color w:val="000000"/>
          <w:sz w:val="20"/>
          <w:lang w:eastAsia="zh-TW"/>
        </w:rPr>
        <w:t>為確保市場流動性，在選擇金融產品時以流動性較高(即隨時可在市場上軋平)為主，受託交易的金融機構必須有充足的資訊及隨時可在任何市場進行交易的能力。</w:t>
      </w:r>
    </w:p>
    <w:p w:rsidR="00011C77" w:rsidRPr="00193EEF" w:rsidRDefault="00011C77" w:rsidP="00011C77">
      <w:pPr>
        <w:snapToGrid w:val="0"/>
        <w:spacing w:line="240" w:lineRule="exact"/>
        <w:ind w:leftChars="415" w:left="1396" w:right="-51" w:hangingChars="200" w:hanging="400"/>
        <w:jc w:val="both"/>
        <w:rPr>
          <w:color w:val="000000"/>
          <w:lang w:eastAsia="zh-TW"/>
        </w:rPr>
      </w:pPr>
      <w:r w:rsidRPr="00193EEF">
        <w:rPr>
          <w:rFonts w:ascii="標楷體" w:eastAsia="標楷體" w:hint="eastAsia"/>
          <w:color w:val="000000"/>
          <w:sz w:val="20"/>
          <w:lang w:eastAsia="zh-TW"/>
        </w:rPr>
        <w:t>四、現金流量風險管理：</w:t>
      </w:r>
      <w:r w:rsidRPr="00193EEF">
        <w:rPr>
          <w:rFonts w:ascii="標楷體" w:eastAsia="標楷體" w:hAnsi="標楷體" w:hint="eastAsia"/>
          <w:color w:val="000000"/>
          <w:sz w:val="20"/>
          <w:lang w:eastAsia="zh-TW"/>
        </w:rPr>
        <w:t>為確保公司營運資金週轉穩定性，其操作金額應考量未來三個月現金收支預測之資金需求。</w:t>
      </w:r>
    </w:p>
    <w:p w:rsidR="00011C77" w:rsidRPr="00193EEF" w:rsidRDefault="00011C77" w:rsidP="00011C77">
      <w:pPr>
        <w:snapToGrid w:val="0"/>
        <w:spacing w:line="240" w:lineRule="exact"/>
        <w:ind w:right="-51" w:firstLineChars="500" w:firstLine="1000"/>
        <w:jc w:val="both"/>
        <w:rPr>
          <w:rFonts w:ascii="標楷體" w:eastAsia="標楷體"/>
          <w:color w:val="000000"/>
          <w:sz w:val="20"/>
          <w:lang w:eastAsia="zh-TW"/>
        </w:rPr>
      </w:pPr>
      <w:r w:rsidRPr="00193EEF">
        <w:rPr>
          <w:rFonts w:ascii="標楷體" w:eastAsia="標楷體" w:hint="eastAsia"/>
          <w:color w:val="000000"/>
          <w:sz w:val="20"/>
          <w:lang w:eastAsia="zh-TW"/>
        </w:rPr>
        <w:t>五、作業風險管理</w:t>
      </w:r>
    </w:p>
    <w:p w:rsidR="00011C77" w:rsidRPr="00193EEF" w:rsidRDefault="00011C77" w:rsidP="00011C77">
      <w:pPr>
        <w:snapToGrid w:val="0"/>
        <w:spacing w:line="240" w:lineRule="exact"/>
        <w:ind w:right="-51" w:firstLineChars="700" w:firstLine="1400"/>
        <w:jc w:val="both"/>
        <w:rPr>
          <w:rFonts w:ascii="標楷體" w:eastAsia="標楷體"/>
          <w:color w:val="000000"/>
          <w:sz w:val="20"/>
          <w:lang w:eastAsia="zh-TW"/>
        </w:rPr>
      </w:pPr>
      <w:r w:rsidRPr="00193EEF">
        <w:rPr>
          <w:rFonts w:ascii="標楷體" w:eastAsia="標楷體" w:hint="eastAsia"/>
          <w:color w:val="000000"/>
          <w:sz w:val="20"/>
          <w:lang w:eastAsia="zh-TW"/>
        </w:rPr>
        <w:t>(1)應確實遵循公司授權額度、作業流程及納入內部稽核，以避免作業風險。</w:t>
      </w:r>
    </w:p>
    <w:p w:rsidR="00011C77" w:rsidRPr="00193EEF" w:rsidRDefault="00011C77" w:rsidP="00011C77">
      <w:pPr>
        <w:snapToGrid w:val="0"/>
        <w:spacing w:line="240" w:lineRule="exact"/>
        <w:ind w:right="-51" w:firstLineChars="700" w:firstLine="1400"/>
        <w:jc w:val="both"/>
        <w:rPr>
          <w:rFonts w:ascii="標楷體" w:eastAsia="標楷體"/>
          <w:color w:val="000000"/>
          <w:sz w:val="20"/>
          <w:lang w:eastAsia="zh-TW"/>
        </w:rPr>
      </w:pPr>
      <w:r w:rsidRPr="00193EEF">
        <w:rPr>
          <w:rFonts w:ascii="標楷體" w:eastAsia="標楷體" w:hint="eastAsia"/>
          <w:color w:val="000000"/>
          <w:sz w:val="20"/>
          <w:lang w:eastAsia="zh-TW"/>
        </w:rPr>
        <w:t>(2)從事衍生性商品之交易人員及確認、交割等作業人員不得互相兼任。</w:t>
      </w:r>
    </w:p>
    <w:p w:rsidR="00011C77" w:rsidRPr="00193EEF" w:rsidRDefault="00011C77" w:rsidP="00011C77">
      <w:pPr>
        <w:snapToGrid w:val="0"/>
        <w:spacing w:line="240" w:lineRule="exact"/>
        <w:ind w:leftChars="581" w:left="1694" w:right="-51" w:hangingChars="150" w:hanging="300"/>
        <w:jc w:val="both"/>
        <w:rPr>
          <w:rFonts w:ascii="標楷體" w:eastAsia="標楷體"/>
          <w:color w:val="000000"/>
          <w:sz w:val="20"/>
          <w:lang w:eastAsia="zh-TW"/>
        </w:rPr>
      </w:pPr>
      <w:r w:rsidRPr="00193EEF">
        <w:rPr>
          <w:rFonts w:ascii="標楷體" w:eastAsia="標楷體" w:hint="eastAsia"/>
          <w:color w:val="000000"/>
          <w:sz w:val="20"/>
          <w:lang w:eastAsia="zh-TW"/>
        </w:rPr>
        <w:t>(3)風險之衡量、監督與控制人員應與前款人員分屬不同部門，並應向董事會或向不負交易或部位決策責任之高階主管人員報告。</w:t>
      </w:r>
    </w:p>
    <w:p w:rsidR="00011C77" w:rsidRPr="00193EEF" w:rsidRDefault="00011C77" w:rsidP="00011C77">
      <w:pPr>
        <w:snapToGrid w:val="0"/>
        <w:spacing w:line="240" w:lineRule="exact"/>
        <w:ind w:leftChars="584" w:left="1702" w:right="-51" w:hangingChars="150" w:hanging="300"/>
        <w:jc w:val="both"/>
        <w:rPr>
          <w:rFonts w:ascii="標楷體" w:eastAsia="標楷體"/>
          <w:color w:val="000000"/>
          <w:sz w:val="20"/>
          <w:lang w:eastAsia="zh-TW"/>
        </w:rPr>
      </w:pPr>
      <w:r w:rsidRPr="00193EEF">
        <w:rPr>
          <w:rFonts w:ascii="標楷體" w:eastAsia="標楷體" w:hint="eastAsia"/>
          <w:color w:val="000000"/>
          <w:sz w:val="20"/>
          <w:lang w:eastAsia="zh-TW"/>
        </w:rPr>
        <w:t>(4)衍生性商品交易所持有之部位至少每週應評估一次，惟若為業務需要辦理之避險性交易至少每月應評估二次，其評估報告應呈送董事會授權之高階主管人員。</w:t>
      </w:r>
    </w:p>
    <w:p w:rsidR="00011C77" w:rsidRPr="00193EEF" w:rsidRDefault="00011C77" w:rsidP="00011C77">
      <w:pPr>
        <w:snapToGrid w:val="0"/>
        <w:spacing w:line="240" w:lineRule="exact"/>
        <w:ind w:leftChars="417" w:left="1401" w:right="-51" w:hangingChars="200" w:hanging="400"/>
        <w:jc w:val="both"/>
        <w:rPr>
          <w:color w:val="000000"/>
          <w:lang w:eastAsia="zh-TW"/>
        </w:rPr>
      </w:pPr>
      <w:r w:rsidRPr="00193EEF">
        <w:rPr>
          <w:rFonts w:ascii="標楷體" w:eastAsia="標楷體" w:hint="eastAsia"/>
          <w:color w:val="000000"/>
          <w:sz w:val="20"/>
          <w:lang w:eastAsia="zh-TW"/>
        </w:rPr>
        <w:t>六、商品風險管理：</w:t>
      </w:r>
      <w:r w:rsidRPr="00193EEF">
        <w:rPr>
          <w:rFonts w:ascii="標楷體" w:eastAsia="標楷體" w:hAnsi="標楷體" w:hint="eastAsia"/>
          <w:color w:val="000000"/>
          <w:sz w:val="20"/>
          <w:lang w:eastAsia="zh-TW"/>
        </w:rPr>
        <w:t>內部交易人員對金融商品應具備完整及正確之專業知識，並要求銀行充分揭露風險，以避免誤用金融商品風險。</w:t>
      </w:r>
    </w:p>
    <w:p w:rsidR="00011C77" w:rsidRPr="00193EEF" w:rsidRDefault="00011C77" w:rsidP="00011C77">
      <w:pPr>
        <w:snapToGrid w:val="0"/>
        <w:spacing w:line="240" w:lineRule="exact"/>
        <w:ind w:leftChars="417" w:left="1401" w:right="-51" w:hangingChars="200" w:hanging="400"/>
        <w:jc w:val="both"/>
        <w:rPr>
          <w:rFonts w:ascii="標楷體" w:eastAsia="標楷體" w:hAnsi="標楷體"/>
          <w:color w:val="000000"/>
          <w:sz w:val="20"/>
          <w:lang w:eastAsia="zh-TW"/>
        </w:rPr>
      </w:pPr>
      <w:r w:rsidRPr="00193EEF">
        <w:rPr>
          <w:rFonts w:ascii="標楷體" w:eastAsia="標楷體" w:hint="eastAsia"/>
          <w:color w:val="000000"/>
          <w:sz w:val="20"/>
          <w:lang w:eastAsia="zh-TW"/>
        </w:rPr>
        <w:t>七、法律風險管理:</w:t>
      </w:r>
      <w:r w:rsidRPr="00193EEF">
        <w:rPr>
          <w:rFonts w:ascii="標楷體" w:eastAsia="標楷體" w:hAnsi="標楷體" w:hint="eastAsia"/>
          <w:color w:val="000000"/>
          <w:sz w:val="20"/>
          <w:lang w:eastAsia="zh-TW"/>
        </w:rPr>
        <w:t>與金融機構簽署的契約文件以市場普遍通用契約為主，任何獨特契約須經過法務或律師檢視後，才可正式簽署，以避免法律風險。</w:t>
      </w:r>
    </w:p>
    <w:p w:rsidR="00011C77" w:rsidRPr="00193EEF" w:rsidRDefault="00011C77" w:rsidP="00C87B3A">
      <w:pPr>
        <w:snapToGrid w:val="0"/>
        <w:spacing w:beforeLines="50" w:before="180" w:line="240" w:lineRule="exact"/>
        <w:ind w:right="-51"/>
        <w:jc w:val="both"/>
        <w:rPr>
          <w:rFonts w:ascii="標楷體" w:eastAsia="標楷體"/>
          <w:color w:val="000000"/>
          <w:sz w:val="20"/>
          <w:lang w:eastAsia="zh-TW"/>
        </w:rPr>
      </w:pPr>
      <w:r w:rsidRPr="00193EEF">
        <w:rPr>
          <w:rFonts w:ascii="標楷體" w:eastAsia="標楷體" w:hint="eastAsia"/>
          <w:color w:val="000000"/>
          <w:sz w:val="20"/>
          <w:lang w:eastAsia="zh-TW"/>
        </w:rPr>
        <w:t>第十七條：內部稽核制度</w:t>
      </w:r>
    </w:p>
    <w:p w:rsidR="00F514E6" w:rsidRDefault="00011C77" w:rsidP="00011C77">
      <w:pPr>
        <w:snapToGrid w:val="0"/>
        <w:spacing w:line="240" w:lineRule="exact"/>
        <w:ind w:leftChars="415" w:left="1396" w:right="-51" w:hangingChars="200" w:hanging="400"/>
        <w:jc w:val="both"/>
        <w:rPr>
          <w:rFonts w:ascii="標楷體" w:eastAsia="標楷體"/>
          <w:color w:val="000000"/>
          <w:sz w:val="20"/>
          <w:lang w:eastAsia="zh-TW"/>
        </w:rPr>
      </w:pPr>
      <w:r w:rsidRPr="00193EEF">
        <w:rPr>
          <w:rFonts w:ascii="標楷體" w:eastAsia="標楷體" w:hint="eastAsia"/>
          <w:color w:val="000000"/>
          <w:sz w:val="20"/>
          <w:lang w:eastAsia="zh-TW"/>
        </w:rPr>
        <w:t>一、內部稽核人員應定期瞭解衍生性商品交易內部控制之允當性，並按月查核交易部門對從事衍生性商品交易處理程序之遵守情形並分析交易循環，作成稽核報告，如發現重大違規情事，應以書面通知</w:t>
      </w:r>
      <w:r w:rsidR="00F514E6" w:rsidRPr="004508AB">
        <w:rPr>
          <w:rFonts w:ascii="標楷體" w:eastAsia="標楷體" w:hint="eastAsia"/>
          <w:sz w:val="20"/>
          <w:lang w:eastAsia="zh-TW"/>
        </w:rPr>
        <w:t>審計委員會</w:t>
      </w:r>
      <w:r w:rsidRPr="00193EEF">
        <w:rPr>
          <w:rFonts w:ascii="標楷體" w:eastAsia="標楷體" w:hint="eastAsia"/>
          <w:color w:val="000000"/>
          <w:sz w:val="20"/>
          <w:lang w:eastAsia="zh-TW"/>
        </w:rPr>
        <w:t>。</w:t>
      </w:r>
    </w:p>
    <w:p w:rsidR="00011C77" w:rsidRPr="00193EEF" w:rsidRDefault="00011C77" w:rsidP="00011C77">
      <w:pPr>
        <w:snapToGrid w:val="0"/>
        <w:spacing w:line="240" w:lineRule="exact"/>
        <w:ind w:leftChars="415" w:left="1396" w:right="-51" w:hangingChars="200" w:hanging="400"/>
        <w:jc w:val="both"/>
        <w:rPr>
          <w:rFonts w:ascii="標楷體" w:eastAsia="標楷體"/>
          <w:color w:val="000000"/>
          <w:sz w:val="20"/>
          <w:lang w:eastAsia="zh-TW"/>
        </w:rPr>
      </w:pPr>
      <w:r w:rsidRPr="00193EEF">
        <w:rPr>
          <w:rFonts w:ascii="標楷體" w:eastAsia="標楷體" w:hint="eastAsia"/>
          <w:color w:val="000000"/>
          <w:sz w:val="20"/>
          <w:lang w:eastAsia="zh-TW"/>
        </w:rPr>
        <w:t>二、內部稽核人員應於次年二月底前將稽核報告併同內部稽核作業年度查核情形依證期會規定申報，且至遲於次年五月底前將異常事項改善情形，依證期會規定申報備查。</w:t>
      </w:r>
    </w:p>
    <w:p w:rsidR="00011C77" w:rsidRPr="00193EEF" w:rsidRDefault="00011C77" w:rsidP="00C87B3A">
      <w:pPr>
        <w:snapToGrid w:val="0"/>
        <w:spacing w:beforeLines="50" w:before="180" w:line="240" w:lineRule="exact"/>
        <w:ind w:right="-51"/>
        <w:jc w:val="both"/>
        <w:rPr>
          <w:rFonts w:ascii="標楷體" w:eastAsia="標楷體"/>
          <w:color w:val="000000"/>
          <w:sz w:val="20"/>
          <w:lang w:eastAsia="zh-TW"/>
        </w:rPr>
      </w:pPr>
      <w:r w:rsidRPr="00193EEF">
        <w:rPr>
          <w:rFonts w:ascii="標楷體" w:eastAsia="標楷體" w:hint="eastAsia"/>
          <w:color w:val="000000"/>
          <w:sz w:val="20"/>
          <w:lang w:eastAsia="zh-TW"/>
        </w:rPr>
        <w:t>第十八條：定期評估方式及異常情形處理</w:t>
      </w:r>
    </w:p>
    <w:p w:rsidR="00011C77" w:rsidRPr="00193EEF" w:rsidRDefault="00011C77" w:rsidP="00011C77">
      <w:pPr>
        <w:snapToGrid w:val="0"/>
        <w:spacing w:line="240" w:lineRule="exact"/>
        <w:ind w:leftChars="415" w:left="1396" w:right="-51" w:hangingChars="200" w:hanging="400"/>
        <w:jc w:val="both"/>
        <w:rPr>
          <w:rFonts w:ascii="標楷體" w:eastAsia="標楷體"/>
          <w:color w:val="000000"/>
          <w:sz w:val="20"/>
          <w:lang w:eastAsia="zh-TW"/>
        </w:rPr>
      </w:pPr>
      <w:r w:rsidRPr="00193EEF">
        <w:rPr>
          <w:rFonts w:ascii="標楷體" w:eastAsia="標楷體" w:hint="eastAsia"/>
          <w:color w:val="000000"/>
          <w:sz w:val="20"/>
          <w:lang w:eastAsia="zh-TW"/>
        </w:rPr>
        <w:t>一、董事會應授權高階主管人員定期監督與評估從事衍生性商品交易是否確實依公司所訂之交易程序辦理，及所承擔風險是否在容許承作範圍內、市價評估報告有異常情形時(如持有部位已逾損失受限)時，應立即向董事會報告，並採因應之措施。</w:t>
      </w:r>
    </w:p>
    <w:p w:rsidR="00011C77" w:rsidRPr="00193EEF" w:rsidRDefault="00011C77" w:rsidP="00011C77">
      <w:pPr>
        <w:snapToGrid w:val="0"/>
        <w:spacing w:line="240" w:lineRule="exact"/>
        <w:ind w:leftChars="415" w:left="1396" w:right="-51" w:hangingChars="200" w:hanging="400"/>
        <w:jc w:val="both"/>
        <w:rPr>
          <w:rFonts w:ascii="標楷體" w:eastAsia="標楷體"/>
          <w:color w:val="000000"/>
          <w:sz w:val="20"/>
          <w:lang w:eastAsia="zh-TW"/>
        </w:rPr>
      </w:pPr>
      <w:r w:rsidRPr="00193EEF">
        <w:rPr>
          <w:rFonts w:ascii="標楷體" w:eastAsia="標楷體" w:hint="eastAsia"/>
          <w:color w:val="000000"/>
          <w:sz w:val="20"/>
          <w:lang w:eastAsia="zh-TW"/>
        </w:rPr>
        <w:t>二、每月或每週定期評估衍生性商品之交易，並彙總當月或當週損益及金融性商品交易未平倉部位，呈董事長指示之高階主管作為管理績效評估及風險衡量之參考。</w:t>
      </w:r>
    </w:p>
    <w:p w:rsidR="00011C77" w:rsidRPr="00193EEF" w:rsidRDefault="00011C77" w:rsidP="00011C77">
      <w:pPr>
        <w:numPr>
          <w:ilvl w:val="0"/>
          <w:numId w:val="2"/>
        </w:numPr>
        <w:suppressAutoHyphens w:val="0"/>
        <w:snapToGrid w:val="0"/>
        <w:spacing w:line="240" w:lineRule="exact"/>
        <w:ind w:right="-51"/>
        <w:jc w:val="both"/>
        <w:rPr>
          <w:rFonts w:ascii="標楷體" w:eastAsia="標楷體"/>
          <w:color w:val="000000"/>
          <w:sz w:val="20"/>
          <w:lang w:eastAsia="zh-TW"/>
        </w:rPr>
      </w:pPr>
      <w:r w:rsidRPr="00193EEF">
        <w:rPr>
          <w:rFonts w:ascii="標楷體" w:eastAsia="標楷體" w:hint="eastAsia"/>
          <w:color w:val="000000"/>
          <w:sz w:val="20"/>
          <w:lang w:eastAsia="zh-TW"/>
        </w:rPr>
        <w:t>從事衍生性商品交易時，董事會之監督管理原則</w:t>
      </w:r>
    </w:p>
    <w:p w:rsidR="00011C77" w:rsidRPr="00193EEF" w:rsidRDefault="00011C77" w:rsidP="00011C77">
      <w:pPr>
        <w:tabs>
          <w:tab w:val="num" w:pos="960"/>
        </w:tabs>
        <w:snapToGrid w:val="0"/>
        <w:spacing w:line="240" w:lineRule="exact"/>
        <w:ind w:leftChars="616" w:left="1976" w:right="-51" w:hangingChars="249" w:hanging="498"/>
        <w:jc w:val="both"/>
        <w:rPr>
          <w:rFonts w:ascii="標楷體" w:eastAsia="標楷體"/>
          <w:color w:val="000000"/>
          <w:sz w:val="20"/>
          <w:lang w:eastAsia="zh-TW"/>
        </w:rPr>
      </w:pPr>
      <w:r w:rsidRPr="00193EEF">
        <w:rPr>
          <w:rFonts w:ascii="標楷體" w:eastAsia="標楷體" w:hint="eastAsia"/>
          <w:color w:val="000000"/>
          <w:sz w:val="20"/>
          <w:lang w:eastAsia="zh-TW"/>
        </w:rPr>
        <w:t>(一)董事會授權董事長指示之高階主管人員應隨時注意衍生性商品交易風險之監督與控制，其管理原則如下：</w:t>
      </w:r>
    </w:p>
    <w:p w:rsidR="00011C77" w:rsidRPr="00193EEF" w:rsidRDefault="00011C77" w:rsidP="00011C77">
      <w:pPr>
        <w:tabs>
          <w:tab w:val="num" w:pos="1320"/>
        </w:tabs>
        <w:snapToGrid w:val="0"/>
        <w:spacing w:line="240" w:lineRule="exact"/>
        <w:ind w:leftChars="784" w:left="2082" w:right="-51" w:hangingChars="100" w:hanging="200"/>
        <w:jc w:val="both"/>
        <w:rPr>
          <w:rFonts w:ascii="標楷體" w:eastAsia="標楷體"/>
          <w:color w:val="000000"/>
          <w:sz w:val="20"/>
          <w:lang w:eastAsia="zh-TW"/>
        </w:rPr>
      </w:pPr>
      <w:r w:rsidRPr="00193EEF">
        <w:rPr>
          <w:rFonts w:ascii="標楷體" w:eastAsia="標楷體" w:hint="eastAsia"/>
          <w:color w:val="000000"/>
          <w:sz w:val="20"/>
          <w:lang w:eastAsia="zh-TW"/>
        </w:rPr>
        <w:t>1.定期評估目前使用之風險管理措施是否適當並確實依本準則及公司所訂之從事</w:t>
      </w:r>
      <w:r w:rsidRPr="00193EEF">
        <w:rPr>
          <w:rFonts w:ascii="標楷體" w:eastAsia="標楷體" w:hint="eastAsia"/>
          <w:color w:val="000000"/>
          <w:sz w:val="20"/>
          <w:lang w:eastAsia="zh-TW"/>
        </w:rPr>
        <w:lastRenderedPageBreak/>
        <w:t>衍生性商品交易處理程序辦理。</w:t>
      </w:r>
    </w:p>
    <w:p w:rsidR="00011C77" w:rsidRPr="00193EEF" w:rsidRDefault="00011C77" w:rsidP="00011C77">
      <w:pPr>
        <w:tabs>
          <w:tab w:val="num" w:pos="1320"/>
        </w:tabs>
        <w:snapToGrid w:val="0"/>
        <w:spacing w:line="240" w:lineRule="exact"/>
        <w:ind w:leftChars="784" w:left="2082" w:right="-51" w:hangingChars="100" w:hanging="200"/>
        <w:jc w:val="both"/>
        <w:rPr>
          <w:rFonts w:ascii="標楷體" w:eastAsia="標楷體"/>
          <w:color w:val="000000"/>
          <w:sz w:val="20"/>
          <w:lang w:eastAsia="zh-TW"/>
        </w:rPr>
      </w:pPr>
      <w:r w:rsidRPr="00193EEF">
        <w:rPr>
          <w:rFonts w:ascii="標楷體" w:eastAsia="標楷體" w:hint="eastAsia"/>
          <w:color w:val="000000"/>
          <w:sz w:val="20"/>
          <w:lang w:eastAsia="zh-TW"/>
        </w:rPr>
        <w:t>2.監督交易及損益情形，發現有異常情事時，應採取必要之因應措施，並立即向董事會報告，本公司若已設置獨立董事者，董事會應有獨立董事出席並表示意見。</w:t>
      </w:r>
    </w:p>
    <w:p w:rsidR="00011C77" w:rsidRPr="00193EEF" w:rsidRDefault="00011C77" w:rsidP="00011C77">
      <w:pPr>
        <w:tabs>
          <w:tab w:val="num" w:pos="960"/>
        </w:tabs>
        <w:snapToGrid w:val="0"/>
        <w:spacing w:line="240" w:lineRule="exact"/>
        <w:ind w:leftChars="617" w:left="1981" w:right="-51" w:hangingChars="250" w:hanging="500"/>
        <w:jc w:val="both"/>
        <w:rPr>
          <w:rFonts w:ascii="標楷體" w:eastAsia="標楷體"/>
          <w:color w:val="000000"/>
          <w:sz w:val="20"/>
          <w:lang w:eastAsia="zh-TW"/>
        </w:rPr>
      </w:pPr>
      <w:r w:rsidRPr="00193EEF">
        <w:rPr>
          <w:rFonts w:ascii="標楷體" w:eastAsia="標楷體" w:hint="eastAsia"/>
          <w:color w:val="000000"/>
          <w:sz w:val="20"/>
          <w:lang w:eastAsia="zh-TW"/>
        </w:rPr>
        <w:t>(二)定期評估從事衍生性商品交易之績效是否符合既定之經營策略及承擔之風險是否在公司容許承受之範圍。</w:t>
      </w:r>
    </w:p>
    <w:p w:rsidR="00011C77" w:rsidRPr="00193EEF" w:rsidRDefault="00011C77" w:rsidP="00011C77">
      <w:pPr>
        <w:tabs>
          <w:tab w:val="num" w:pos="960"/>
        </w:tabs>
        <w:snapToGrid w:val="0"/>
        <w:spacing w:line="240" w:lineRule="exact"/>
        <w:ind w:leftChars="617" w:left="1981" w:right="-51" w:hangingChars="250" w:hanging="500"/>
        <w:jc w:val="both"/>
        <w:rPr>
          <w:rFonts w:ascii="標楷體" w:eastAsia="標楷體"/>
          <w:color w:val="000000"/>
          <w:sz w:val="20"/>
          <w:lang w:eastAsia="zh-TW"/>
        </w:rPr>
      </w:pPr>
      <w:r w:rsidRPr="00193EEF">
        <w:rPr>
          <w:rFonts w:ascii="標楷體" w:eastAsia="標楷體" w:hint="eastAsia"/>
          <w:color w:val="000000"/>
          <w:sz w:val="20"/>
          <w:lang w:eastAsia="zh-TW"/>
        </w:rPr>
        <w:t>(三)本公司從事衍生性商品交易時，依所訂從事衍生性商品交易處理程序規定授權相關人員辦理者，事後應提報最近期董事會。</w:t>
      </w:r>
    </w:p>
    <w:p w:rsidR="00011C77" w:rsidRPr="00193EEF" w:rsidRDefault="00011C77" w:rsidP="00011C77">
      <w:pPr>
        <w:tabs>
          <w:tab w:val="num" w:pos="960"/>
        </w:tabs>
        <w:snapToGrid w:val="0"/>
        <w:spacing w:line="240" w:lineRule="exact"/>
        <w:ind w:leftChars="617" w:left="1881" w:right="-51" w:hangingChars="200" w:hanging="400"/>
        <w:jc w:val="both"/>
        <w:rPr>
          <w:rFonts w:ascii="標楷體" w:eastAsia="標楷體"/>
          <w:color w:val="000000"/>
          <w:sz w:val="20"/>
          <w:lang w:eastAsia="zh-TW"/>
        </w:rPr>
      </w:pPr>
      <w:r w:rsidRPr="00193EEF">
        <w:rPr>
          <w:rFonts w:ascii="標楷體" w:eastAsia="標楷體" w:hint="eastAsia"/>
          <w:color w:val="000000"/>
          <w:sz w:val="20"/>
          <w:lang w:eastAsia="zh-TW"/>
        </w:rPr>
        <w:t>(四)本公司從事衍生性商品交易時，應建立備查簿，就從事衍生性商品交易之種類、金額、董事會通過日期及依本條第一項、第二項應審慎評估之事項，詳予登載於備查簿備查。</w:t>
      </w:r>
    </w:p>
    <w:p w:rsidR="00011C77" w:rsidRPr="00193EEF" w:rsidRDefault="00011C77" w:rsidP="00011C77">
      <w:pPr>
        <w:tabs>
          <w:tab w:val="num" w:pos="960"/>
        </w:tabs>
        <w:snapToGrid w:val="0"/>
        <w:spacing w:line="240" w:lineRule="exact"/>
        <w:ind w:right="-51"/>
        <w:jc w:val="both"/>
        <w:rPr>
          <w:rFonts w:ascii="標楷體" w:eastAsia="標楷體"/>
          <w:color w:val="000000"/>
          <w:sz w:val="20"/>
          <w:lang w:eastAsia="zh-TW"/>
        </w:rPr>
      </w:pPr>
    </w:p>
    <w:p w:rsidR="00011C77" w:rsidRPr="00193EEF" w:rsidRDefault="00011C77" w:rsidP="00011C77">
      <w:pPr>
        <w:tabs>
          <w:tab w:val="num" w:pos="960"/>
        </w:tabs>
        <w:snapToGrid w:val="0"/>
        <w:spacing w:line="240" w:lineRule="exact"/>
        <w:ind w:right="-51"/>
        <w:jc w:val="center"/>
        <w:rPr>
          <w:rFonts w:ascii="標楷體" w:eastAsia="標楷體"/>
          <w:color w:val="000000"/>
          <w:sz w:val="20"/>
          <w:lang w:eastAsia="zh-TW"/>
        </w:rPr>
      </w:pPr>
      <w:r w:rsidRPr="00193EEF">
        <w:rPr>
          <w:rFonts w:ascii="標楷體" w:eastAsia="標楷體" w:hint="eastAsia"/>
          <w:color w:val="000000"/>
          <w:sz w:val="20"/>
          <w:lang w:eastAsia="zh-TW"/>
        </w:rPr>
        <w:t xml:space="preserve">第四章　　</w:t>
      </w:r>
      <w:r w:rsidRPr="00193EEF">
        <w:rPr>
          <w:rFonts w:ascii="標楷體" w:eastAsia="標楷體" w:hAnsi="標楷體" w:hint="eastAsia"/>
          <w:color w:val="000000"/>
          <w:sz w:val="20"/>
          <w:lang w:eastAsia="zh-TW"/>
        </w:rPr>
        <w:t>合併、分割、收購或股份受讓</w:t>
      </w:r>
    </w:p>
    <w:p w:rsidR="00011C77" w:rsidRPr="00283B74" w:rsidRDefault="00011C77" w:rsidP="00C87B3A">
      <w:pPr>
        <w:pStyle w:val="a3"/>
        <w:spacing w:beforeLines="50" w:before="180" w:line="240" w:lineRule="exact"/>
        <w:ind w:left="1000" w:hangingChars="500" w:hanging="1000"/>
        <w:rPr>
          <w:rFonts w:ascii="標楷體" w:eastAsia="標楷體" w:hAnsi="標楷體"/>
          <w:sz w:val="20"/>
          <w:lang w:eastAsia="zh-TW"/>
        </w:rPr>
      </w:pPr>
      <w:r w:rsidRPr="00193EEF">
        <w:rPr>
          <w:rFonts w:ascii="標楷體" w:eastAsia="標楷體" w:hAnsi="標楷體" w:hint="eastAsia"/>
          <w:color w:val="000000"/>
          <w:sz w:val="20"/>
          <w:lang w:eastAsia="zh-TW"/>
        </w:rPr>
        <w:t>第十九條：本公司辦理合併、分割、收購或股份受讓時宜委請律師、會計師及承銷商等共同研議法定程序預計時間表，且組織專案小組依照法定程序執行之。並於召開董事會決議前，委請會計師、律師或證券承銷商就換股比例、收購價格或配發股東之現金或其他財產之合理性表示意見，提報董事會討論通過</w:t>
      </w:r>
      <w:r w:rsidRPr="00283B74">
        <w:rPr>
          <w:rFonts w:ascii="標楷體" w:eastAsia="標楷體" w:hAnsi="標楷體" w:hint="eastAsia"/>
          <w:sz w:val="20"/>
          <w:lang w:eastAsia="zh-TW"/>
        </w:rPr>
        <w:t>。</w:t>
      </w:r>
      <w:r w:rsidRPr="00283B74">
        <w:rPr>
          <w:rFonts w:ascii="標楷體" w:eastAsia="標楷體" w:hAnsi="標楷體"/>
          <w:sz w:val="20"/>
          <w:lang w:eastAsia="zh-TW"/>
        </w:rPr>
        <w:t>但公</w:t>
      </w:r>
      <w:r w:rsidRPr="00283B74">
        <w:rPr>
          <w:rFonts w:eastAsia="標楷體" w:hint="eastAsia"/>
          <w:sz w:val="20"/>
          <w:lang w:eastAsia="zh-TW"/>
        </w:rPr>
        <w:t>開發行公司合併其直接或間接持有百分之百已發行股份或資本總額之子公司，或其直接或間接持有百分之百已發行股份或資本總額之子公司間之合併</w:t>
      </w:r>
      <w:r w:rsidRPr="00283B74">
        <w:rPr>
          <w:rFonts w:hint="eastAsia"/>
          <w:sz w:val="20"/>
          <w:lang w:eastAsia="zh-TW"/>
        </w:rPr>
        <w:t>，</w:t>
      </w:r>
      <w:r w:rsidRPr="00283B74">
        <w:rPr>
          <w:rFonts w:eastAsia="標楷體" w:hint="eastAsia"/>
          <w:sz w:val="20"/>
          <w:lang w:eastAsia="zh-TW"/>
        </w:rPr>
        <w:t>得免取得前開專家出具之合理性意見</w:t>
      </w:r>
      <w:r w:rsidRPr="00283B74">
        <w:rPr>
          <w:rFonts w:hint="eastAsia"/>
          <w:sz w:val="20"/>
          <w:lang w:eastAsia="zh-TW"/>
        </w:rPr>
        <w:t>。</w:t>
      </w:r>
    </w:p>
    <w:p w:rsidR="00011C77" w:rsidRPr="00193EEF" w:rsidRDefault="00011C77" w:rsidP="00C87B3A">
      <w:pPr>
        <w:spacing w:beforeLines="50" w:before="180" w:line="240" w:lineRule="exact"/>
        <w:ind w:left="1000" w:hangingChars="500" w:hanging="10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第二十條：本公司應將合併、分割或收購重要約定內容及相關事項，於股東會開會前製作致股東之公開文件，併同前條專家意見及股東會之開會通知一併交付股東，以作為是否同意該合併、分割或收購案之參考。但依其他法律規定得免召開股東會決議合併、分割或收購事項者，不在此限。另外，參與合併、分割或收購之公司，任一方之股東會，因出席人數、表決權不足或其他法律限制，致無法召開、決議，或議案遭股東會否決，參與合併、分割或收購之公司應立即對外公開說明發生原因、後續處理作業及預計召開股東會之日期。</w:t>
      </w:r>
    </w:p>
    <w:p w:rsidR="00011C77" w:rsidRPr="00193EEF" w:rsidRDefault="00011C77" w:rsidP="00C87B3A">
      <w:pPr>
        <w:spacing w:beforeLines="50" w:before="180" w:line="240" w:lineRule="exact"/>
        <w:ind w:left="1190" w:hangingChars="595" w:hanging="119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第二十一條：參與合併、分割或收購之公司除其他法律另有規定或有特殊因素事先報經證券主管機關同意者外，應於同一天召開董事會及股東會，決議合併、分割或收購相關事項。</w:t>
      </w:r>
    </w:p>
    <w:p w:rsidR="00011C77" w:rsidRPr="00193EEF" w:rsidRDefault="00011C77" w:rsidP="00011C77">
      <w:pPr>
        <w:spacing w:line="240" w:lineRule="exact"/>
        <w:ind w:leftChars="496" w:left="119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參與股份受讓之公司除其他法律另有規定或有特殊因素事先報經證券主管機關同意者外，應於同一天召開董事會。</w:t>
      </w:r>
    </w:p>
    <w:p w:rsidR="00011C77" w:rsidRPr="00193EEF" w:rsidRDefault="00011C77" w:rsidP="00011C77">
      <w:pPr>
        <w:spacing w:line="240" w:lineRule="exact"/>
        <w:ind w:leftChars="500" w:left="12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本公司參與合併、分割、收購或股份受讓時，應將下列資料作成完整書面紀錄，並保存五年，備供查核：</w:t>
      </w:r>
    </w:p>
    <w:p w:rsidR="00011C77" w:rsidRPr="00193EEF" w:rsidRDefault="00011C77" w:rsidP="00011C77">
      <w:pPr>
        <w:spacing w:line="240" w:lineRule="exact"/>
        <w:ind w:leftChars="500" w:left="1600"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一、人員基本資料：包括消息公開前所有參與合併、分割、收購或股份受讓計畫或計畫執行之人，其職稱、姓名、身分證字號(如為外國人則為護照號碼) 。</w:t>
      </w:r>
    </w:p>
    <w:p w:rsidR="00011C77" w:rsidRPr="00193EEF" w:rsidRDefault="00011C77" w:rsidP="00011C77">
      <w:pPr>
        <w:spacing w:line="240" w:lineRule="exact"/>
        <w:ind w:leftChars="498" w:left="1595"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二、重要事項日期：包括簽訂意向書或備忘錄、委託財務或法律顧問、簽訂契約及董事會等日期。</w:t>
      </w:r>
    </w:p>
    <w:p w:rsidR="00011C77" w:rsidRPr="00193EEF" w:rsidRDefault="00011C77" w:rsidP="00011C77">
      <w:pPr>
        <w:spacing w:line="240" w:lineRule="exact"/>
        <w:ind w:leftChars="500" w:left="1600"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三、重要書件及議事錄：包括合併、分割、收購或股份受讓計畫，意向書或備忘錄、重要契約及董事會議事錄等書件。</w:t>
      </w:r>
    </w:p>
    <w:p w:rsidR="00283B74" w:rsidRDefault="00283B74" w:rsidP="00011C77">
      <w:pPr>
        <w:spacing w:line="240" w:lineRule="exact"/>
        <w:ind w:leftChars="500" w:left="1200"/>
        <w:jc w:val="both"/>
        <w:rPr>
          <w:rFonts w:ascii="標楷體" w:eastAsia="標楷體" w:hAnsi="標楷體"/>
          <w:color w:val="000000"/>
          <w:sz w:val="20"/>
          <w:lang w:eastAsia="zh-TW"/>
        </w:rPr>
      </w:pPr>
      <w:r>
        <w:rPr>
          <w:rFonts w:ascii="標楷體" w:eastAsia="標楷體" w:hAnsi="標楷體" w:hint="eastAsia"/>
          <w:color w:val="000000"/>
          <w:sz w:val="20"/>
          <w:lang w:eastAsia="zh-TW"/>
        </w:rPr>
        <w:t xml:space="preserve">    </w:t>
      </w:r>
      <w:r w:rsidR="00011C77" w:rsidRPr="00193EEF">
        <w:rPr>
          <w:rFonts w:ascii="標楷體" w:eastAsia="標楷體" w:hAnsi="標楷體" w:hint="eastAsia"/>
          <w:color w:val="000000"/>
          <w:sz w:val="20"/>
          <w:lang w:eastAsia="zh-TW"/>
        </w:rPr>
        <w:t>本公司參與合併、分割、收購或股份受讓時，應於董事會決議通過之即日起算二日內，</w:t>
      </w:r>
      <w:r>
        <w:rPr>
          <w:rFonts w:ascii="標楷體" w:eastAsia="標楷體" w:hAnsi="標楷體" w:hint="eastAsia"/>
          <w:color w:val="000000"/>
          <w:sz w:val="20"/>
          <w:lang w:eastAsia="zh-TW"/>
        </w:rPr>
        <w:t xml:space="preserve"> </w:t>
      </w:r>
    </w:p>
    <w:p w:rsidR="00283B74" w:rsidRDefault="00283B74" w:rsidP="00011C77">
      <w:pPr>
        <w:spacing w:line="240" w:lineRule="exact"/>
        <w:ind w:leftChars="500" w:left="1200"/>
        <w:jc w:val="both"/>
        <w:rPr>
          <w:rFonts w:ascii="標楷體" w:eastAsia="標楷體" w:hAnsi="標楷體"/>
          <w:color w:val="000000"/>
          <w:sz w:val="20"/>
          <w:lang w:eastAsia="zh-TW"/>
        </w:rPr>
      </w:pPr>
      <w:r>
        <w:rPr>
          <w:rFonts w:ascii="標楷體" w:eastAsia="標楷體" w:hAnsi="標楷體" w:hint="eastAsia"/>
          <w:color w:val="000000"/>
          <w:sz w:val="20"/>
          <w:lang w:eastAsia="zh-TW"/>
        </w:rPr>
        <w:t xml:space="preserve">    </w:t>
      </w:r>
      <w:r w:rsidR="00011C77" w:rsidRPr="00193EEF">
        <w:rPr>
          <w:rFonts w:ascii="標楷體" w:eastAsia="標楷體" w:hAnsi="標楷體" w:hint="eastAsia"/>
          <w:color w:val="000000"/>
          <w:sz w:val="20"/>
          <w:lang w:eastAsia="zh-TW"/>
        </w:rPr>
        <w:t>將前項第一款及第二款資料，依規定格式以網際網路資訊系統申請證券主管機關備</w:t>
      </w:r>
    </w:p>
    <w:p w:rsidR="00283B74" w:rsidRDefault="00283B74" w:rsidP="00011C77">
      <w:pPr>
        <w:spacing w:line="240" w:lineRule="exact"/>
        <w:ind w:leftChars="500" w:left="1200"/>
        <w:jc w:val="both"/>
        <w:rPr>
          <w:rFonts w:ascii="標楷體" w:eastAsia="標楷體" w:hAnsi="標楷體"/>
          <w:color w:val="000000"/>
          <w:sz w:val="20"/>
          <w:lang w:eastAsia="zh-TW"/>
        </w:rPr>
      </w:pPr>
      <w:r>
        <w:rPr>
          <w:rFonts w:ascii="標楷體" w:eastAsia="標楷體" w:hAnsi="標楷體" w:hint="eastAsia"/>
          <w:color w:val="000000"/>
          <w:sz w:val="20"/>
          <w:lang w:eastAsia="zh-TW"/>
        </w:rPr>
        <w:t xml:space="preserve">    </w:t>
      </w:r>
      <w:r w:rsidR="00011C77" w:rsidRPr="00193EEF">
        <w:rPr>
          <w:rFonts w:ascii="標楷體" w:eastAsia="標楷體" w:hAnsi="標楷體" w:hint="eastAsia"/>
          <w:color w:val="000000"/>
          <w:sz w:val="20"/>
          <w:lang w:eastAsia="zh-TW"/>
        </w:rPr>
        <w:t>查。本公司參與合併、分割、收購或股份受讓之公司有非屬上市或股票在證券商營業</w:t>
      </w:r>
    </w:p>
    <w:p w:rsidR="00011C77" w:rsidRPr="00193EEF" w:rsidRDefault="00283B74" w:rsidP="00283B74">
      <w:pPr>
        <w:spacing w:line="240" w:lineRule="exact"/>
        <w:ind w:leftChars="500" w:left="1200"/>
        <w:jc w:val="both"/>
        <w:rPr>
          <w:rFonts w:ascii="標楷體" w:eastAsia="標楷體" w:hAnsi="標楷體"/>
          <w:color w:val="000000"/>
          <w:sz w:val="20"/>
          <w:lang w:eastAsia="zh-TW"/>
        </w:rPr>
      </w:pPr>
      <w:r>
        <w:rPr>
          <w:rFonts w:ascii="標楷體" w:eastAsia="標楷體" w:hAnsi="標楷體" w:hint="eastAsia"/>
          <w:color w:val="000000"/>
          <w:sz w:val="20"/>
          <w:lang w:eastAsia="zh-TW"/>
        </w:rPr>
        <w:t xml:space="preserve">    </w:t>
      </w:r>
      <w:r w:rsidR="00011C77" w:rsidRPr="00193EEF">
        <w:rPr>
          <w:rFonts w:ascii="標楷體" w:eastAsia="標楷體" w:hAnsi="標楷體" w:hint="eastAsia"/>
          <w:color w:val="000000"/>
          <w:sz w:val="20"/>
          <w:lang w:eastAsia="zh-TW"/>
        </w:rPr>
        <w:t>處所買賣之公司者，本公司應與其簽訂協議，並依第三項及第四項規定辦理。</w:t>
      </w:r>
    </w:p>
    <w:p w:rsidR="00011C77" w:rsidRPr="00283B74" w:rsidRDefault="00011C77" w:rsidP="00C87B3A">
      <w:pPr>
        <w:pStyle w:val="a6"/>
        <w:spacing w:beforeLines="50" w:before="180" w:line="240" w:lineRule="exact"/>
        <w:ind w:left="1440" w:hangingChars="600" w:hanging="1440"/>
        <w:jc w:val="both"/>
        <w:rPr>
          <w:sz w:val="20"/>
        </w:rPr>
      </w:pPr>
      <w:r w:rsidRPr="00283B74">
        <w:rPr>
          <w:rFonts w:hint="eastAsia"/>
          <w:sz w:val="20"/>
          <w:lang w:eastAsia="zh-TW"/>
        </w:rPr>
        <w:t>第二十二條：</w:t>
      </w:r>
      <w:r w:rsidRPr="00F514E6">
        <w:rPr>
          <w:rFonts w:ascii="標楷體" w:hAnsi="標楷體" w:cs="Times New Roman" w:hint="eastAsia"/>
          <w:color w:val="000000"/>
          <w:spacing w:val="0"/>
          <w:sz w:val="20"/>
          <w:lang w:eastAsia="zh-TW"/>
        </w:rPr>
        <w:t>所有參與或知悉公司合併、分割、收購或股份受讓計畫之人，應出具書面保密承諾，在訊息公開前，不得將計畫之內容對外洩露，亦不得自行或利用他人名義買賣與合併、分割、收購或股份受讓案相關之所有公司之股票及其他具有股權性質之有價證券。</w:t>
      </w:r>
    </w:p>
    <w:p w:rsidR="00011C77" w:rsidRPr="00193EEF" w:rsidRDefault="00011C77" w:rsidP="00C87B3A">
      <w:pPr>
        <w:spacing w:beforeLines="50" w:before="180" w:line="240" w:lineRule="exact"/>
        <w:ind w:left="1000" w:hangingChars="500" w:hanging="10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第二十三條：換股比例或收購價格：</w:t>
      </w:r>
    </w:p>
    <w:p w:rsidR="00011C77" w:rsidRPr="00193EEF" w:rsidRDefault="00011C77" w:rsidP="00011C77">
      <w:pPr>
        <w:spacing w:line="240" w:lineRule="exact"/>
        <w:ind w:leftChars="498" w:left="1195"/>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參與合併、分割、收購或股份受讓之換股比例或收購價除有下列情事外，不得任意變更，且應於合併、分割、收購或股份受讓契約中訂定得變更之情況：</w:t>
      </w:r>
    </w:p>
    <w:p w:rsidR="00011C77" w:rsidRPr="00193EEF" w:rsidRDefault="00011C77" w:rsidP="00011C77">
      <w:pPr>
        <w:spacing w:line="240" w:lineRule="exact"/>
        <w:ind w:leftChars="498" w:left="1595"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一、辦理現金增資、發行轉換公司債、無償配股、發行附認股權公司債、附認股權特別股、認股權憑證及其他具有股權性質之有價證券。</w:t>
      </w:r>
    </w:p>
    <w:p w:rsidR="00011C77" w:rsidRPr="00193EEF" w:rsidRDefault="00011C77" w:rsidP="00011C77">
      <w:pPr>
        <w:spacing w:line="240" w:lineRule="exact"/>
        <w:ind w:firstLineChars="600" w:firstLine="12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二、處分公司重大資產等影響公司財務業務之行為。</w:t>
      </w:r>
    </w:p>
    <w:p w:rsidR="00011C77" w:rsidRPr="00193EEF" w:rsidRDefault="00011C77" w:rsidP="00011C77">
      <w:pPr>
        <w:spacing w:line="240" w:lineRule="exact"/>
        <w:ind w:firstLineChars="600" w:firstLine="12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三、發生重大災害、技術重大變革等影響公司股東權益或證券價格情事。</w:t>
      </w:r>
    </w:p>
    <w:p w:rsidR="00011C77" w:rsidRPr="00193EEF" w:rsidRDefault="00011C77" w:rsidP="00011C77">
      <w:pPr>
        <w:spacing w:line="240" w:lineRule="exact"/>
        <w:ind w:firstLineChars="600" w:firstLine="12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四、參與合併、分割、收購或股份受讓之公司任一方依法買回庫藏股之調整。</w:t>
      </w:r>
    </w:p>
    <w:p w:rsidR="00011C77" w:rsidRPr="00193EEF" w:rsidRDefault="00011C77" w:rsidP="00011C77">
      <w:pPr>
        <w:spacing w:line="240" w:lineRule="exact"/>
        <w:ind w:firstLineChars="600" w:firstLine="12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五、參與合併、分割、收購或股份受讓之主體或家數發生增減變動。</w:t>
      </w:r>
    </w:p>
    <w:p w:rsidR="00011C77" w:rsidRPr="00193EEF" w:rsidRDefault="00011C77" w:rsidP="00011C77">
      <w:pPr>
        <w:spacing w:line="240" w:lineRule="exact"/>
        <w:ind w:firstLineChars="600" w:firstLine="12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六、已於契約中訂定得變更之其他條件，並已對外公開揭露者。</w:t>
      </w:r>
    </w:p>
    <w:p w:rsidR="00011C77" w:rsidRPr="00193EEF" w:rsidRDefault="00011C77" w:rsidP="00C87B3A">
      <w:pPr>
        <w:spacing w:beforeLines="50" w:before="180" w:line="240" w:lineRule="exact"/>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lastRenderedPageBreak/>
        <w:t>第二十四條：契約內容應記載事項</w:t>
      </w:r>
    </w:p>
    <w:p w:rsidR="00011C77" w:rsidRPr="00193EEF" w:rsidRDefault="00011C77" w:rsidP="00011C77">
      <w:pPr>
        <w:spacing w:line="240" w:lineRule="exact"/>
        <w:ind w:leftChars="498" w:left="1195"/>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本公司參與合併、分割、收購或股份受讓公司之契約除依公司法第三百一十七之一條及企業併購法第二十二條規定外，並應載明下列事項。</w:t>
      </w:r>
    </w:p>
    <w:p w:rsidR="00011C77" w:rsidRPr="00193EEF" w:rsidRDefault="00011C77" w:rsidP="00011C77">
      <w:pPr>
        <w:spacing w:line="240" w:lineRule="exact"/>
        <w:ind w:firstLineChars="600" w:firstLine="12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一、違約之處理。</w:t>
      </w:r>
    </w:p>
    <w:p w:rsidR="00011C77" w:rsidRPr="00193EEF" w:rsidRDefault="00011C77" w:rsidP="00011C77">
      <w:pPr>
        <w:spacing w:line="240" w:lineRule="exact"/>
        <w:ind w:leftChars="498" w:left="1595" w:hangingChars="200" w:hanging="4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二、因合</w:t>
      </w:r>
      <w:r w:rsidR="00E207A6">
        <w:rPr>
          <w:rFonts w:ascii="標楷體" w:eastAsia="標楷體" w:hAnsi="標楷體" w:hint="eastAsia"/>
          <w:color w:val="000000"/>
          <w:sz w:val="20"/>
          <w:lang w:eastAsia="zh-TW"/>
        </w:rPr>
        <w:t>併而消滅或被分割之公司前已發行具有股權性質有價證券或已買回之庫</w:t>
      </w:r>
      <w:r w:rsidRPr="00193EEF">
        <w:rPr>
          <w:rFonts w:ascii="標楷體" w:eastAsia="標楷體" w:hAnsi="標楷體" w:hint="eastAsia"/>
          <w:color w:val="000000"/>
          <w:sz w:val="20"/>
          <w:lang w:eastAsia="zh-TW"/>
        </w:rPr>
        <w:t>藏股之處理原則。</w:t>
      </w:r>
    </w:p>
    <w:p w:rsidR="00011C77" w:rsidRPr="00193EEF" w:rsidRDefault="00011C77" w:rsidP="00011C77">
      <w:pPr>
        <w:spacing w:line="240" w:lineRule="exact"/>
        <w:ind w:firstLineChars="600" w:firstLine="12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三、參與公司於計算換股比例基準日後，得依法買回庫藏股之數量及其處理原則。</w:t>
      </w:r>
    </w:p>
    <w:p w:rsidR="00011C77" w:rsidRPr="00193EEF" w:rsidRDefault="00011C77" w:rsidP="00011C77">
      <w:pPr>
        <w:spacing w:line="240" w:lineRule="exact"/>
        <w:ind w:firstLineChars="600" w:firstLine="12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四、參與主體或家數發生增減變動之處理方式。</w:t>
      </w:r>
    </w:p>
    <w:p w:rsidR="00011C77" w:rsidRPr="00193EEF" w:rsidRDefault="00011C77" w:rsidP="00011C77">
      <w:pPr>
        <w:spacing w:line="240" w:lineRule="exact"/>
        <w:ind w:firstLineChars="600" w:firstLine="12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五、預計計畫執行進度、預計完成日程。</w:t>
      </w:r>
    </w:p>
    <w:p w:rsidR="00011C77" w:rsidRPr="00193EEF" w:rsidRDefault="00011C77" w:rsidP="00011C77">
      <w:pPr>
        <w:spacing w:line="240" w:lineRule="exact"/>
        <w:ind w:firstLineChars="600" w:firstLine="12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六、計畫逾期未完成時，依法令應召開股東會之預定召開日期等相關處理程序。</w:t>
      </w:r>
    </w:p>
    <w:p w:rsidR="00011C77" w:rsidRPr="00193EEF" w:rsidRDefault="00011C77" w:rsidP="00C87B3A">
      <w:pPr>
        <w:spacing w:beforeLines="50" w:before="180" w:line="240" w:lineRule="exact"/>
        <w:ind w:left="1200" w:hangingChars="600" w:hanging="12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第二十五條：參與合併、分割、收購或股份受讓之公司家數異動時：參與合併、分割、收購或股份受讓之公司任何一方於資訊對外公開後，如擬再與其他公司進行合併、分割、收購或股份受讓，除參與家數減少，且股東會已決議並授權董事會得變更權限者，參與公司得免召開股東會重行決議外，原合併、分割、收購或股份受讓案中，已進行完成之程序或法律行為，應由所有參與公司重行為之。</w:t>
      </w:r>
    </w:p>
    <w:p w:rsidR="00011C77" w:rsidRPr="00193EEF" w:rsidRDefault="00011C77" w:rsidP="00C87B3A">
      <w:pPr>
        <w:spacing w:beforeLines="50" w:before="180" w:line="240" w:lineRule="exact"/>
        <w:ind w:left="1200" w:hangingChars="600" w:hanging="1200"/>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第二十六條：參與合併、分割、收購或股份受讓之公司有非屬公開發行公司者，本公司應與其簽訂協議，並依第二十一條、第二十二條及第二十五條規定辦理。</w:t>
      </w:r>
    </w:p>
    <w:p w:rsidR="00011C77" w:rsidRPr="00193EEF" w:rsidRDefault="00011C77" w:rsidP="00C87B3A">
      <w:pPr>
        <w:spacing w:beforeLines="50" w:before="180" w:line="240" w:lineRule="exact"/>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第二十七條：實施與修訂</w:t>
      </w:r>
    </w:p>
    <w:p w:rsidR="00F3303F" w:rsidRPr="004508AB" w:rsidRDefault="00F3303F" w:rsidP="00F3303F">
      <w:pPr>
        <w:pStyle w:val="20"/>
        <w:spacing w:line="240" w:lineRule="exact"/>
        <w:ind w:left="1276" w:hanging="1"/>
        <w:rPr>
          <w:sz w:val="20"/>
          <w:lang w:eastAsia="zh-TW"/>
        </w:rPr>
      </w:pPr>
      <w:r w:rsidRPr="004508AB">
        <w:rPr>
          <w:rFonts w:hint="eastAsia"/>
          <w:sz w:val="20"/>
          <w:lang w:eastAsia="zh-TW"/>
        </w:rPr>
        <w:t>一、本公司「取得或處分資產處理程序」經審計委員會同意並經董事會決議通過後，提報</w:t>
      </w:r>
      <w:r w:rsidR="00F23ABC" w:rsidRPr="004508AB">
        <w:rPr>
          <w:rFonts w:hint="eastAsia"/>
          <w:sz w:val="20"/>
          <w:lang w:eastAsia="zh-TW"/>
        </w:rPr>
        <w:t xml:space="preserve"> </w:t>
      </w:r>
      <w:r w:rsidRPr="004508AB">
        <w:rPr>
          <w:rFonts w:hint="eastAsia"/>
          <w:sz w:val="20"/>
          <w:lang w:eastAsia="zh-TW"/>
        </w:rPr>
        <w:t>股東會同意後實施，修改時亦同。如有董事表示異議且有紀錄或書面聲明者，公司並應將董事異議資料送審計委員會。將『取得或處分資產處理程序』提報董事會討論時，應充分考量各獨立董事之意見，並將其同意或反對之意見與理由列入會議紀錄。</w:t>
      </w:r>
    </w:p>
    <w:p w:rsidR="00F3303F" w:rsidRPr="004508AB" w:rsidRDefault="00F3303F" w:rsidP="00F3303F">
      <w:pPr>
        <w:pStyle w:val="20"/>
        <w:spacing w:line="240" w:lineRule="exact"/>
        <w:ind w:left="1232" w:firstLineChars="22" w:firstLine="44"/>
        <w:rPr>
          <w:sz w:val="20"/>
          <w:lang w:eastAsia="zh-TW"/>
        </w:rPr>
      </w:pPr>
      <w:r w:rsidRPr="004508AB">
        <w:rPr>
          <w:rFonts w:hint="eastAsia"/>
          <w:sz w:val="20"/>
          <w:lang w:eastAsia="zh-TW"/>
        </w:rPr>
        <w:t>第一項如未經審計委員會全體成員二分之一以上同意者，得由全體董事三分之二以上同意行之，並應於董事會議事錄載明審計委員會之決議。</w:t>
      </w:r>
    </w:p>
    <w:p w:rsidR="00F3303F" w:rsidRPr="004508AB" w:rsidRDefault="00F3303F" w:rsidP="00F3303F">
      <w:pPr>
        <w:pStyle w:val="20"/>
        <w:spacing w:line="240" w:lineRule="exact"/>
        <w:ind w:left="1232"/>
        <w:rPr>
          <w:sz w:val="20"/>
          <w:lang w:eastAsia="zh-TW"/>
        </w:rPr>
      </w:pPr>
      <w:r w:rsidRPr="004508AB">
        <w:rPr>
          <w:rFonts w:hint="eastAsia"/>
          <w:sz w:val="20"/>
          <w:lang w:eastAsia="zh-TW"/>
        </w:rPr>
        <w:t>二、本公司取得或處分資產依本程序或其他法律規定應經審計委員會通過者，應經審計委員會全體成員二分之一以上同意。如未經審計委員會全體成員二分之一以上同意者，得由全體董事三分之二以上同意行之，並應於董事會議事錄載明審計委員會之決議。</w:t>
      </w:r>
    </w:p>
    <w:p w:rsidR="00011C77" w:rsidRPr="00F3303F" w:rsidRDefault="00F3303F" w:rsidP="00F3303F">
      <w:pPr>
        <w:pStyle w:val="20"/>
        <w:spacing w:line="240" w:lineRule="exact"/>
        <w:ind w:left="1232"/>
        <w:rPr>
          <w:color w:val="FF0000"/>
          <w:sz w:val="20"/>
          <w:lang w:eastAsia="zh-TW"/>
        </w:rPr>
      </w:pPr>
      <w:r w:rsidRPr="004508AB">
        <w:rPr>
          <w:rFonts w:hint="eastAsia"/>
          <w:sz w:val="20"/>
          <w:lang w:eastAsia="zh-TW"/>
        </w:rPr>
        <w:t>三、本程序所稱審計委員會全體成員及前項所稱全體董事，以實際在任者計算之</w:t>
      </w:r>
      <w:r w:rsidRPr="00F3303F">
        <w:rPr>
          <w:rFonts w:hint="eastAsia"/>
          <w:color w:val="FF0000"/>
          <w:sz w:val="20"/>
          <w:lang w:eastAsia="zh-TW"/>
        </w:rPr>
        <w:t>。</w:t>
      </w:r>
    </w:p>
    <w:p w:rsidR="00011C77" w:rsidRPr="00193EEF" w:rsidRDefault="00011C77" w:rsidP="00C87B3A">
      <w:pPr>
        <w:spacing w:beforeLines="50" w:before="180" w:line="240" w:lineRule="exact"/>
        <w:jc w:val="both"/>
        <w:rPr>
          <w:rFonts w:ascii="標楷體" w:eastAsia="標楷體" w:hAnsi="標楷體"/>
          <w:color w:val="000000"/>
          <w:sz w:val="20"/>
          <w:lang w:eastAsia="zh-TW"/>
        </w:rPr>
      </w:pPr>
      <w:r w:rsidRPr="00193EEF">
        <w:rPr>
          <w:rFonts w:ascii="標楷體" w:eastAsia="標楷體" w:hAnsi="標楷體" w:hint="eastAsia"/>
          <w:color w:val="000000"/>
          <w:sz w:val="20"/>
          <w:lang w:eastAsia="zh-TW"/>
        </w:rPr>
        <w:t>第二十八條：本處理程序如有未盡事宜，悉依有關法令規定及本公司相關規章辦理。</w:t>
      </w:r>
    </w:p>
    <w:p w:rsidR="00011C77" w:rsidRPr="00193EEF" w:rsidRDefault="00011C77" w:rsidP="00C87B3A">
      <w:pPr>
        <w:pStyle w:val="2"/>
        <w:autoSpaceDE w:val="0"/>
        <w:autoSpaceDN w:val="0"/>
        <w:spacing w:beforeLines="50" w:before="180" w:line="240" w:lineRule="exact"/>
        <w:ind w:left="964" w:hanging="964"/>
        <w:jc w:val="both"/>
        <w:textAlignment w:val="bottom"/>
        <w:rPr>
          <w:rFonts w:ascii="Times New Roman" w:eastAsia="標楷體"/>
          <w:color w:val="000000"/>
          <w:sz w:val="20"/>
          <w:lang w:eastAsia="zh-TW"/>
        </w:rPr>
      </w:pPr>
      <w:r w:rsidRPr="00193EEF">
        <w:rPr>
          <w:rFonts w:ascii="Times New Roman" w:eastAsia="標楷體" w:hint="eastAsia"/>
          <w:color w:val="000000"/>
          <w:sz w:val="20"/>
          <w:lang w:eastAsia="zh-TW"/>
        </w:rPr>
        <w:t>第二十九條：本處理程序訂定於</w:t>
      </w:r>
      <w:smartTag w:uri="urn:schemas-microsoft-com:office:smarttags" w:element="chsdate">
        <w:smartTagPr>
          <w:attr w:name="IsROCDate" w:val="True"/>
          <w:attr w:name="IsLunarDate" w:val="False"/>
          <w:attr w:name="Day" w:val="15"/>
          <w:attr w:name="Month" w:val="6"/>
          <w:attr w:name="Year" w:val="2007"/>
        </w:smartTagPr>
        <w:r w:rsidRPr="00193EEF">
          <w:rPr>
            <w:rFonts w:ascii="Times New Roman" w:eastAsia="標楷體" w:hint="eastAsia"/>
            <w:color w:val="000000"/>
            <w:sz w:val="20"/>
            <w:lang w:eastAsia="zh-TW"/>
          </w:rPr>
          <w:t>中華民國九十六年六月十五日</w:t>
        </w:r>
      </w:smartTag>
      <w:r w:rsidRPr="00193EEF">
        <w:rPr>
          <w:rFonts w:ascii="Times New Roman" w:eastAsia="標楷體" w:hint="eastAsia"/>
          <w:color w:val="000000"/>
          <w:sz w:val="20"/>
          <w:lang w:eastAsia="zh-TW"/>
        </w:rPr>
        <w:t>。</w:t>
      </w:r>
    </w:p>
    <w:p w:rsidR="00011C77" w:rsidRPr="00193EEF" w:rsidRDefault="00011C77" w:rsidP="00011C77">
      <w:pPr>
        <w:pStyle w:val="2"/>
        <w:autoSpaceDE w:val="0"/>
        <w:autoSpaceDN w:val="0"/>
        <w:spacing w:line="240" w:lineRule="exact"/>
        <w:ind w:left="964" w:hanging="964"/>
        <w:jc w:val="both"/>
        <w:textAlignment w:val="bottom"/>
        <w:rPr>
          <w:rFonts w:ascii="Times New Roman" w:eastAsia="標楷體"/>
          <w:color w:val="000000"/>
          <w:sz w:val="20"/>
          <w:lang w:eastAsia="zh-TW"/>
        </w:rPr>
      </w:pPr>
      <w:r w:rsidRPr="00193EEF">
        <w:rPr>
          <w:rFonts w:ascii="Times New Roman" w:eastAsia="標楷體" w:hint="eastAsia"/>
          <w:color w:val="000000"/>
          <w:sz w:val="20"/>
          <w:lang w:eastAsia="zh-TW"/>
        </w:rPr>
        <w:t xml:space="preserve">　　　　　　第一次修訂於</w:t>
      </w:r>
      <w:smartTag w:uri="urn:schemas-microsoft-com:office:smarttags" w:element="chsdate">
        <w:smartTagPr>
          <w:attr w:name="IsROCDate" w:val="True"/>
          <w:attr w:name="IsLunarDate" w:val="False"/>
          <w:attr w:name="Day" w:val="21"/>
          <w:attr w:name="Month" w:val="6"/>
          <w:attr w:name="Year" w:val="2012"/>
        </w:smartTagPr>
        <w:r w:rsidRPr="00193EEF">
          <w:rPr>
            <w:rFonts w:ascii="Times New Roman" w:eastAsia="標楷體" w:hint="eastAsia"/>
            <w:color w:val="000000"/>
            <w:sz w:val="20"/>
            <w:lang w:eastAsia="zh-TW"/>
          </w:rPr>
          <w:t>中華民國一</w:t>
        </w:r>
        <w:r w:rsidRPr="00193EEF">
          <w:rPr>
            <w:rFonts w:ascii="Times New Roman" w:eastAsia="標楷體" w:hint="eastAsia"/>
            <w:color w:val="000000"/>
            <w:sz w:val="18"/>
            <w:szCs w:val="18"/>
            <w:lang w:eastAsia="zh-TW"/>
          </w:rPr>
          <w:t>○</w:t>
        </w:r>
        <w:r w:rsidRPr="00193EEF">
          <w:rPr>
            <w:rFonts w:ascii="Times New Roman" w:eastAsia="標楷體" w:hint="eastAsia"/>
            <w:color w:val="000000"/>
            <w:sz w:val="20"/>
            <w:lang w:eastAsia="zh-TW"/>
          </w:rPr>
          <w:t>一年六月二十一日</w:t>
        </w:r>
      </w:smartTag>
      <w:r w:rsidRPr="00193EEF">
        <w:rPr>
          <w:rFonts w:ascii="Times New Roman" w:eastAsia="標楷體" w:hint="eastAsia"/>
          <w:color w:val="000000"/>
          <w:sz w:val="20"/>
          <w:lang w:eastAsia="zh-TW"/>
        </w:rPr>
        <w:t>。</w:t>
      </w:r>
    </w:p>
    <w:p w:rsidR="00011C77" w:rsidRDefault="00011C77" w:rsidP="00011C77">
      <w:pPr>
        <w:pStyle w:val="2"/>
        <w:autoSpaceDE w:val="0"/>
        <w:autoSpaceDN w:val="0"/>
        <w:spacing w:line="240" w:lineRule="exact"/>
        <w:ind w:left="964" w:hanging="964"/>
        <w:jc w:val="both"/>
        <w:textAlignment w:val="bottom"/>
        <w:rPr>
          <w:rFonts w:ascii="Times New Roman" w:eastAsia="標楷體"/>
          <w:color w:val="000000"/>
          <w:sz w:val="20"/>
          <w:lang w:eastAsia="zh-TW"/>
        </w:rPr>
      </w:pPr>
      <w:r w:rsidRPr="00193EEF">
        <w:rPr>
          <w:rFonts w:ascii="Times New Roman" w:eastAsia="標楷體" w:hint="eastAsia"/>
          <w:color w:val="000000"/>
          <w:sz w:val="20"/>
          <w:lang w:eastAsia="zh-TW"/>
        </w:rPr>
        <w:t xml:space="preserve">　　　　　　第二次修訂於</w:t>
      </w:r>
      <w:smartTag w:uri="urn:schemas-microsoft-com:office:smarttags" w:element="chsdate">
        <w:smartTagPr>
          <w:attr w:name="IsROCDate" w:val="True"/>
          <w:attr w:name="IsLunarDate" w:val="False"/>
          <w:attr w:name="Day" w:val="26"/>
          <w:attr w:name="Month" w:val="6"/>
          <w:attr w:name="Year" w:val="2014"/>
        </w:smartTagPr>
        <w:r w:rsidRPr="00193EEF">
          <w:rPr>
            <w:rFonts w:ascii="Times New Roman" w:eastAsia="標楷體" w:hint="eastAsia"/>
            <w:color w:val="000000"/>
            <w:sz w:val="20"/>
            <w:lang w:eastAsia="zh-TW"/>
          </w:rPr>
          <w:t>中華民國一</w:t>
        </w:r>
        <w:r w:rsidRPr="00193EEF">
          <w:rPr>
            <w:rFonts w:ascii="Times New Roman" w:eastAsia="標楷體" w:hint="eastAsia"/>
            <w:color w:val="000000"/>
            <w:sz w:val="18"/>
            <w:szCs w:val="18"/>
            <w:lang w:eastAsia="zh-TW"/>
          </w:rPr>
          <w:t>○三</w:t>
        </w:r>
        <w:r w:rsidRPr="00193EEF">
          <w:rPr>
            <w:rFonts w:ascii="Times New Roman" w:eastAsia="標楷體" w:hint="eastAsia"/>
            <w:color w:val="000000"/>
            <w:sz w:val="20"/>
            <w:lang w:eastAsia="zh-TW"/>
          </w:rPr>
          <w:t>年六月二十六日</w:t>
        </w:r>
      </w:smartTag>
      <w:r w:rsidRPr="00193EEF">
        <w:rPr>
          <w:rFonts w:ascii="Times New Roman" w:eastAsia="標楷體" w:hint="eastAsia"/>
          <w:color w:val="000000"/>
          <w:sz w:val="20"/>
          <w:lang w:eastAsia="zh-TW"/>
        </w:rPr>
        <w:t>。</w:t>
      </w:r>
    </w:p>
    <w:p w:rsidR="00011C77" w:rsidRPr="00E207A6" w:rsidRDefault="00011C77" w:rsidP="00011C77">
      <w:pPr>
        <w:pStyle w:val="2"/>
        <w:autoSpaceDE w:val="0"/>
        <w:autoSpaceDN w:val="0"/>
        <w:spacing w:line="240" w:lineRule="exact"/>
        <w:ind w:left="964" w:hanging="964"/>
        <w:jc w:val="both"/>
        <w:textAlignment w:val="bottom"/>
        <w:rPr>
          <w:rFonts w:ascii="Times New Roman" w:eastAsia="標楷體"/>
          <w:sz w:val="20"/>
          <w:lang w:eastAsia="zh-TW"/>
        </w:rPr>
      </w:pPr>
      <w:r>
        <w:rPr>
          <w:rFonts w:ascii="Times New Roman" w:eastAsia="標楷體" w:hint="eastAsia"/>
          <w:color w:val="000000"/>
          <w:sz w:val="20"/>
          <w:lang w:eastAsia="zh-TW"/>
        </w:rPr>
        <w:t xml:space="preserve">            </w:t>
      </w:r>
      <w:r w:rsidRPr="00E207A6">
        <w:rPr>
          <w:rFonts w:ascii="Times New Roman" w:eastAsia="標楷體" w:hint="eastAsia"/>
          <w:sz w:val="20"/>
          <w:lang w:eastAsia="zh-TW"/>
        </w:rPr>
        <w:t>第三次修訂於中華民國一</w:t>
      </w:r>
      <w:r w:rsidRPr="00E207A6">
        <w:rPr>
          <w:rFonts w:ascii="Times New Roman" w:eastAsia="標楷體" w:hint="eastAsia"/>
          <w:sz w:val="18"/>
          <w:szCs w:val="18"/>
          <w:lang w:eastAsia="zh-TW"/>
        </w:rPr>
        <w:t>○六</w:t>
      </w:r>
      <w:r w:rsidRPr="00E207A6">
        <w:rPr>
          <w:rFonts w:ascii="Times New Roman" w:eastAsia="標楷體" w:hint="eastAsia"/>
          <w:sz w:val="20"/>
          <w:lang w:eastAsia="zh-TW"/>
        </w:rPr>
        <w:t>年六月二十六日。</w:t>
      </w:r>
    </w:p>
    <w:p w:rsidR="00011C77" w:rsidRPr="00226E86" w:rsidRDefault="00E207A6" w:rsidP="00226E86">
      <w:pPr>
        <w:pStyle w:val="2"/>
        <w:autoSpaceDE w:val="0"/>
        <w:autoSpaceDN w:val="0"/>
        <w:spacing w:line="240" w:lineRule="exact"/>
        <w:ind w:left="964" w:hanging="964"/>
        <w:jc w:val="both"/>
        <w:textAlignment w:val="bottom"/>
        <w:rPr>
          <w:rFonts w:ascii="Times New Roman" w:eastAsia="標楷體"/>
          <w:color w:val="000000"/>
          <w:sz w:val="20"/>
          <w:lang w:eastAsia="zh-TW"/>
        </w:rPr>
      </w:pPr>
      <w:r w:rsidRPr="00E207A6">
        <w:rPr>
          <w:rFonts w:eastAsia="標楷體" w:hint="eastAsia"/>
          <w:color w:val="FF0000"/>
          <w:sz w:val="20"/>
          <w:lang w:eastAsia="zh-TW"/>
        </w:rPr>
        <w:t xml:space="preserve">            </w:t>
      </w:r>
      <w:r w:rsidRPr="00226E86">
        <w:rPr>
          <w:rFonts w:ascii="Times New Roman" w:eastAsia="標楷體" w:hint="eastAsia"/>
          <w:color w:val="000000"/>
          <w:sz w:val="20"/>
          <w:lang w:eastAsia="zh-TW"/>
        </w:rPr>
        <w:t>第四次修訂於中華民國一○八年六月二十七日。</w:t>
      </w:r>
    </w:p>
    <w:p w:rsidR="00557145" w:rsidRDefault="00C95BA4" w:rsidP="00226E86">
      <w:pPr>
        <w:pStyle w:val="2"/>
        <w:autoSpaceDE w:val="0"/>
        <w:autoSpaceDN w:val="0"/>
        <w:spacing w:line="240" w:lineRule="exact"/>
        <w:ind w:left="964" w:firstLine="170"/>
        <w:jc w:val="both"/>
        <w:textAlignment w:val="bottom"/>
        <w:rPr>
          <w:rFonts w:ascii="Times New Roman" w:eastAsia="標楷體"/>
          <w:sz w:val="20"/>
          <w:lang w:eastAsia="zh-TW"/>
        </w:rPr>
      </w:pPr>
      <w:r w:rsidRPr="00710E77">
        <w:rPr>
          <w:rFonts w:ascii="Times New Roman" w:eastAsia="標楷體" w:hint="eastAsia"/>
          <w:color w:val="FF0000"/>
          <w:sz w:val="20"/>
          <w:lang w:eastAsia="zh-TW"/>
        </w:rPr>
        <w:t xml:space="preserve"> </w:t>
      </w:r>
      <w:r w:rsidR="00557145" w:rsidRPr="00E5251E">
        <w:rPr>
          <w:rFonts w:ascii="Times New Roman" w:eastAsia="標楷體" w:hint="eastAsia"/>
          <w:sz w:val="20"/>
          <w:lang w:eastAsia="zh-TW"/>
        </w:rPr>
        <w:t>第五次修訂於中華民國一○九年六月三十日。</w:t>
      </w:r>
    </w:p>
    <w:p w:rsidR="003B1A02" w:rsidRPr="00E5251E" w:rsidRDefault="003B1A02" w:rsidP="003B1A02">
      <w:pPr>
        <w:pStyle w:val="2"/>
        <w:autoSpaceDE w:val="0"/>
        <w:autoSpaceDN w:val="0"/>
        <w:spacing w:line="240" w:lineRule="exact"/>
        <w:ind w:left="964" w:firstLine="312"/>
        <w:jc w:val="both"/>
        <w:textAlignment w:val="bottom"/>
        <w:rPr>
          <w:rFonts w:hint="eastAsia"/>
          <w:sz w:val="20"/>
          <w:lang w:eastAsia="zh-TW"/>
        </w:rPr>
      </w:pPr>
      <w:bookmarkStart w:id="0" w:name="_GoBack"/>
      <w:bookmarkEnd w:id="0"/>
      <w:r w:rsidRPr="006C5AEC">
        <w:rPr>
          <w:rFonts w:ascii="標楷體" w:eastAsia="標楷體" w:hAnsi="標楷體" w:hint="eastAsia"/>
          <w:color w:val="FF0000"/>
          <w:sz w:val="20"/>
        </w:rPr>
        <w:t>第六次修訂於中華民國一一一年六月二十二日。</w:t>
      </w:r>
    </w:p>
    <w:p w:rsidR="00011C77" w:rsidRPr="00112140" w:rsidRDefault="00011C77" w:rsidP="00011C77">
      <w:pPr>
        <w:tabs>
          <w:tab w:val="left" w:pos="1080"/>
        </w:tabs>
        <w:spacing w:before="120"/>
        <w:jc w:val="both"/>
        <w:rPr>
          <w:rFonts w:ascii="Book Antiqua" w:eastAsia="新細明體" w:hAnsi="Book Antiqua" w:cs="Book Antiqua"/>
          <w:color w:val="0000FF"/>
          <w:lang w:eastAsia="zh-TW"/>
        </w:rPr>
      </w:pPr>
    </w:p>
    <w:p w:rsidR="005465ED" w:rsidRPr="00011C77" w:rsidRDefault="005465ED">
      <w:pPr>
        <w:rPr>
          <w:lang w:eastAsia="zh-TW"/>
        </w:rPr>
      </w:pPr>
    </w:p>
    <w:sectPr w:rsidR="005465ED" w:rsidRPr="00011C77" w:rsidSect="006C7677">
      <w:pgSz w:w="11906" w:h="16838"/>
      <w:pgMar w:top="1440" w:right="1287" w:bottom="1440" w:left="162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B13" w:rsidRDefault="00E66B13" w:rsidP="003F75D0">
      <w:r>
        <w:separator/>
      </w:r>
    </w:p>
  </w:endnote>
  <w:endnote w:type="continuationSeparator" w:id="0">
    <w:p w:rsidR="00E66B13" w:rsidRDefault="00E66B13" w:rsidP="003F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隸書體W5">
    <w:altName w:val="微軟正黑體"/>
    <w:charset w:val="88"/>
    <w:family w:val="script"/>
    <w:pitch w:val="fixed"/>
    <w:sig w:usb0="80000001" w:usb1="28091800" w:usb2="00000016"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 MingLiU">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Noto Sans Mono CJK JP Regular">
    <w:altName w:val="Arial"/>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B13" w:rsidRDefault="00E66B13" w:rsidP="003F75D0">
      <w:r>
        <w:separator/>
      </w:r>
    </w:p>
  </w:footnote>
  <w:footnote w:type="continuationSeparator" w:id="0">
    <w:p w:rsidR="00E66B13" w:rsidRDefault="00E66B13" w:rsidP="003F7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D35A3"/>
    <w:multiLevelType w:val="hybridMultilevel"/>
    <w:tmpl w:val="BDF62D9A"/>
    <w:lvl w:ilvl="0" w:tplc="E5209690">
      <w:start w:val="2"/>
      <w:numFmt w:val="taiwaneseCountingThousand"/>
      <w:lvlText w:val="%1、"/>
      <w:lvlJc w:val="left"/>
      <w:pPr>
        <w:tabs>
          <w:tab w:val="num" w:pos="1405"/>
        </w:tabs>
        <w:ind w:left="1405" w:hanging="405"/>
      </w:pPr>
      <w:rPr>
        <w:rFonts w:hint="default"/>
      </w:rPr>
    </w:lvl>
    <w:lvl w:ilvl="1" w:tplc="04090019" w:tentative="1">
      <w:start w:val="1"/>
      <w:numFmt w:val="ideographTraditional"/>
      <w:lvlText w:val="%2、"/>
      <w:lvlJc w:val="left"/>
      <w:pPr>
        <w:tabs>
          <w:tab w:val="num" w:pos="1960"/>
        </w:tabs>
        <w:ind w:left="1960" w:hanging="480"/>
      </w:pPr>
    </w:lvl>
    <w:lvl w:ilvl="2" w:tplc="0409001B" w:tentative="1">
      <w:start w:val="1"/>
      <w:numFmt w:val="lowerRoman"/>
      <w:lvlText w:val="%3."/>
      <w:lvlJc w:val="right"/>
      <w:pPr>
        <w:tabs>
          <w:tab w:val="num" w:pos="2440"/>
        </w:tabs>
        <w:ind w:left="2440" w:hanging="480"/>
      </w:pPr>
    </w:lvl>
    <w:lvl w:ilvl="3" w:tplc="0409000F" w:tentative="1">
      <w:start w:val="1"/>
      <w:numFmt w:val="decimal"/>
      <w:lvlText w:val="%4."/>
      <w:lvlJc w:val="left"/>
      <w:pPr>
        <w:tabs>
          <w:tab w:val="num" w:pos="2920"/>
        </w:tabs>
        <w:ind w:left="2920" w:hanging="480"/>
      </w:pPr>
    </w:lvl>
    <w:lvl w:ilvl="4" w:tplc="04090019" w:tentative="1">
      <w:start w:val="1"/>
      <w:numFmt w:val="ideographTraditional"/>
      <w:lvlText w:val="%5、"/>
      <w:lvlJc w:val="left"/>
      <w:pPr>
        <w:tabs>
          <w:tab w:val="num" w:pos="3400"/>
        </w:tabs>
        <w:ind w:left="3400" w:hanging="480"/>
      </w:pPr>
    </w:lvl>
    <w:lvl w:ilvl="5" w:tplc="0409001B" w:tentative="1">
      <w:start w:val="1"/>
      <w:numFmt w:val="lowerRoman"/>
      <w:lvlText w:val="%6."/>
      <w:lvlJc w:val="right"/>
      <w:pPr>
        <w:tabs>
          <w:tab w:val="num" w:pos="3880"/>
        </w:tabs>
        <w:ind w:left="3880" w:hanging="480"/>
      </w:pPr>
    </w:lvl>
    <w:lvl w:ilvl="6" w:tplc="0409000F" w:tentative="1">
      <w:start w:val="1"/>
      <w:numFmt w:val="decimal"/>
      <w:lvlText w:val="%7."/>
      <w:lvlJc w:val="left"/>
      <w:pPr>
        <w:tabs>
          <w:tab w:val="num" w:pos="4360"/>
        </w:tabs>
        <w:ind w:left="4360" w:hanging="480"/>
      </w:pPr>
    </w:lvl>
    <w:lvl w:ilvl="7" w:tplc="04090019" w:tentative="1">
      <w:start w:val="1"/>
      <w:numFmt w:val="ideographTraditional"/>
      <w:lvlText w:val="%8、"/>
      <w:lvlJc w:val="left"/>
      <w:pPr>
        <w:tabs>
          <w:tab w:val="num" w:pos="4840"/>
        </w:tabs>
        <w:ind w:left="4840" w:hanging="480"/>
      </w:pPr>
    </w:lvl>
    <w:lvl w:ilvl="8" w:tplc="0409001B" w:tentative="1">
      <w:start w:val="1"/>
      <w:numFmt w:val="lowerRoman"/>
      <w:lvlText w:val="%9."/>
      <w:lvlJc w:val="right"/>
      <w:pPr>
        <w:tabs>
          <w:tab w:val="num" w:pos="5320"/>
        </w:tabs>
        <w:ind w:left="5320" w:hanging="480"/>
      </w:pPr>
    </w:lvl>
  </w:abstractNum>
  <w:abstractNum w:abstractNumId="1" w15:restartNumberingAfterBreak="0">
    <w:nsid w:val="71564691"/>
    <w:multiLevelType w:val="hybridMultilevel"/>
    <w:tmpl w:val="7C3C6AD8"/>
    <w:lvl w:ilvl="0" w:tplc="C0B42EBE">
      <w:start w:val="3"/>
      <w:numFmt w:val="taiwaneseCountingThousand"/>
      <w:lvlText w:val="%1、"/>
      <w:lvlJc w:val="left"/>
      <w:pPr>
        <w:tabs>
          <w:tab w:val="num" w:pos="1405"/>
        </w:tabs>
        <w:ind w:left="1405" w:hanging="405"/>
      </w:pPr>
      <w:rPr>
        <w:rFonts w:hint="default"/>
      </w:rPr>
    </w:lvl>
    <w:lvl w:ilvl="1" w:tplc="04090019" w:tentative="1">
      <w:start w:val="1"/>
      <w:numFmt w:val="ideographTraditional"/>
      <w:lvlText w:val="%2、"/>
      <w:lvlJc w:val="left"/>
      <w:pPr>
        <w:tabs>
          <w:tab w:val="num" w:pos="1960"/>
        </w:tabs>
        <w:ind w:left="1960" w:hanging="480"/>
      </w:pPr>
    </w:lvl>
    <w:lvl w:ilvl="2" w:tplc="0409001B" w:tentative="1">
      <w:start w:val="1"/>
      <w:numFmt w:val="lowerRoman"/>
      <w:lvlText w:val="%3."/>
      <w:lvlJc w:val="right"/>
      <w:pPr>
        <w:tabs>
          <w:tab w:val="num" w:pos="2440"/>
        </w:tabs>
        <w:ind w:left="2440" w:hanging="480"/>
      </w:pPr>
    </w:lvl>
    <w:lvl w:ilvl="3" w:tplc="0409000F" w:tentative="1">
      <w:start w:val="1"/>
      <w:numFmt w:val="decimal"/>
      <w:lvlText w:val="%4."/>
      <w:lvlJc w:val="left"/>
      <w:pPr>
        <w:tabs>
          <w:tab w:val="num" w:pos="2920"/>
        </w:tabs>
        <w:ind w:left="2920" w:hanging="480"/>
      </w:pPr>
    </w:lvl>
    <w:lvl w:ilvl="4" w:tplc="04090019" w:tentative="1">
      <w:start w:val="1"/>
      <w:numFmt w:val="ideographTraditional"/>
      <w:lvlText w:val="%5、"/>
      <w:lvlJc w:val="left"/>
      <w:pPr>
        <w:tabs>
          <w:tab w:val="num" w:pos="3400"/>
        </w:tabs>
        <w:ind w:left="3400" w:hanging="480"/>
      </w:pPr>
    </w:lvl>
    <w:lvl w:ilvl="5" w:tplc="0409001B" w:tentative="1">
      <w:start w:val="1"/>
      <w:numFmt w:val="lowerRoman"/>
      <w:lvlText w:val="%6."/>
      <w:lvlJc w:val="right"/>
      <w:pPr>
        <w:tabs>
          <w:tab w:val="num" w:pos="3880"/>
        </w:tabs>
        <w:ind w:left="3880" w:hanging="480"/>
      </w:pPr>
    </w:lvl>
    <w:lvl w:ilvl="6" w:tplc="0409000F" w:tentative="1">
      <w:start w:val="1"/>
      <w:numFmt w:val="decimal"/>
      <w:lvlText w:val="%7."/>
      <w:lvlJc w:val="left"/>
      <w:pPr>
        <w:tabs>
          <w:tab w:val="num" w:pos="4360"/>
        </w:tabs>
        <w:ind w:left="4360" w:hanging="480"/>
      </w:pPr>
    </w:lvl>
    <w:lvl w:ilvl="7" w:tplc="04090019" w:tentative="1">
      <w:start w:val="1"/>
      <w:numFmt w:val="ideographTraditional"/>
      <w:lvlText w:val="%8、"/>
      <w:lvlJc w:val="left"/>
      <w:pPr>
        <w:tabs>
          <w:tab w:val="num" w:pos="4840"/>
        </w:tabs>
        <w:ind w:left="4840" w:hanging="480"/>
      </w:pPr>
    </w:lvl>
    <w:lvl w:ilvl="8" w:tplc="0409001B" w:tentative="1">
      <w:start w:val="1"/>
      <w:numFmt w:val="lowerRoman"/>
      <w:lvlText w:val="%9."/>
      <w:lvlJc w:val="right"/>
      <w:pPr>
        <w:tabs>
          <w:tab w:val="num" w:pos="5320"/>
        </w:tabs>
        <w:ind w:left="5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1C77"/>
    <w:rsid w:val="00011C77"/>
    <w:rsid w:val="00054D39"/>
    <w:rsid w:val="00060032"/>
    <w:rsid w:val="00163EB9"/>
    <w:rsid w:val="001D4BD1"/>
    <w:rsid w:val="00226E86"/>
    <w:rsid w:val="00262658"/>
    <w:rsid w:val="00283B74"/>
    <w:rsid w:val="002E6559"/>
    <w:rsid w:val="002E7143"/>
    <w:rsid w:val="00331DA6"/>
    <w:rsid w:val="0036647E"/>
    <w:rsid w:val="003B15FA"/>
    <w:rsid w:val="003B1A02"/>
    <w:rsid w:val="003F75D0"/>
    <w:rsid w:val="004228A9"/>
    <w:rsid w:val="00443F09"/>
    <w:rsid w:val="004508AB"/>
    <w:rsid w:val="00464B9E"/>
    <w:rsid w:val="00484E95"/>
    <w:rsid w:val="004E7EDF"/>
    <w:rsid w:val="00513654"/>
    <w:rsid w:val="00536A54"/>
    <w:rsid w:val="005465ED"/>
    <w:rsid w:val="00557145"/>
    <w:rsid w:val="005B54EA"/>
    <w:rsid w:val="005F2D99"/>
    <w:rsid w:val="00653AD5"/>
    <w:rsid w:val="006C7677"/>
    <w:rsid w:val="006E29E2"/>
    <w:rsid w:val="00710E77"/>
    <w:rsid w:val="007258EF"/>
    <w:rsid w:val="00750CBC"/>
    <w:rsid w:val="00785B76"/>
    <w:rsid w:val="007A0555"/>
    <w:rsid w:val="008441CB"/>
    <w:rsid w:val="00885344"/>
    <w:rsid w:val="00937481"/>
    <w:rsid w:val="009D0844"/>
    <w:rsid w:val="009E5BAF"/>
    <w:rsid w:val="00A00EDA"/>
    <w:rsid w:val="00A0737F"/>
    <w:rsid w:val="00A66D7F"/>
    <w:rsid w:val="00A70DB7"/>
    <w:rsid w:val="00A73054"/>
    <w:rsid w:val="00A73E9F"/>
    <w:rsid w:val="00A81D46"/>
    <w:rsid w:val="00AF14E0"/>
    <w:rsid w:val="00B50D4A"/>
    <w:rsid w:val="00B54256"/>
    <w:rsid w:val="00B67A2B"/>
    <w:rsid w:val="00B70D99"/>
    <w:rsid w:val="00BE4BDC"/>
    <w:rsid w:val="00C16EF9"/>
    <w:rsid w:val="00C20470"/>
    <w:rsid w:val="00C47879"/>
    <w:rsid w:val="00C5601B"/>
    <w:rsid w:val="00C7397A"/>
    <w:rsid w:val="00C87B3A"/>
    <w:rsid w:val="00C95BA4"/>
    <w:rsid w:val="00CB420D"/>
    <w:rsid w:val="00CD0CE9"/>
    <w:rsid w:val="00D36351"/>
    <w:rsid w:val="00D463DA"/>
    <w:rsid w:val="00D508A6"/>
    <w:rsid w:val="00DD1AFA"/>
    <w:rsid w:val="00E0147C"/>
    <w:rsid w:val="00E055D9"/>
    <w:rsid w:val="00E07BE6"/>
    <w:rsid w:val="00E10722"/>
    <w:rsid w:val="00E207A6"/>
    <w:rsid w:val="00E5251E"/>
    <w:rsid w:val="00E5283F"/>
    <w:rsid w:val="00E66B13"/>
    <w:rsid w:val="00EA54AA"/>
    <w:rsid w:val="00EC20FE"/>
    <w:rsid w:val="00ED4EC8"/>
    <w:rsid w:val="00F23ABC"/>
    <w:rsid w:val="00F3303F"/>
    <w:rsid w:val="00F514E6"/>
    <w:rsid w:val="00FD2B55"/>
    <w:rsid w:val="00FF7E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BB09FB1"/>
  <w15:docId w15:val="{F50C045E-4B2D-48B9-B8CF-01416080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C77"/>
    <w:pPr>
      <w:widowControl w:val="0"/>
      <w:suppressAutoHyphens/>
    </w:pPr>
    <w:rPr>
      <w:rFonts w:eastAsia="華康隸書體W5"/>
      <w:kern w:val="1"/>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11C77"/>
    <w:pPr>
      <w:autoSpaceDE w:val="0"/>
      <w:spacing w:line="240" w:lineRule="atLeast"/>
      <w:ind w:right="181"/>
      <w:jc w:val="both"/>
    </w:pPr>
    <w:rPr>
      <w:rFonts w:ascii="新細明體" w:eastAsia="新細明體" w:hAnsi="新細明體" w:cs="新細明體"/>
    </w:rPr>
  </w:style>
  <w:style w:type="paragraph" w:styleId="a4">
    <w:name w:val="Body Text Indent"/>
    <w:basedOn w:val="a"/>
    <w:rsid w:val="00011C77"/>
    <w:pPr>
      <w:snapToGrid w:val="0"/>
      <w:spacing w:before="120" w:line="360" w:lineRule="exact"/>
      <w:ind w:left="720" w:hanging="720"/>
    </w:pPr>
    <w:rPr>
      <w:rFonts w:ascii="標楷體" w:eastAsia="標楷體" w:hAnsi="標楷體" w:cs="標楷體"/>
    </w:rPr>
  </w:style>
  <w:style w:type="paragraph" w:styleId="3">
    <w:name w:val="Body Text Indent 3"/>
    <w:basedOn w:val="a"/>
    <w:link w:val="30"/>
    <w:rsid w:val="00011C77"/>
    <w:pPr>
      <w:ind w:left="1260" w:hanging="540"/>
    </w:pPr>
  </w:style>
  <w:style w:type="paragraph" w:customStyle="1" w:styleId="2">
    <w:name w:val="內文2"/>
    <w:rsid w:val="00011C77"/>
    <w:pPr>
      <w:widowControl w:val="0"/>
      <w:suppressAutoHyphens/>
      <w:ind w:left="2348" w:hanging="1044"/>
      <w:textAlignment w:val="baseline"/>
    </w:pPr>
    <w:rPr>
      <w:rFonts w:ascii="細明體" w:eastAsia="細明體" w:hAnsi="細明體" w:cs="細明體"/>
      <w:sz w:val="26"/>
      <w:lang w:eastAsia="ar-SA"/>
    </w:rPr>
  </w:style>
  <w:style w:type="paragraph" w:styleId="20">
    <w:name w:val="Body Text 2"/>
    <w:basedOn w:val="a"/>
    <w:rsid w:val="00011C77"/>
    <w:pPr>
      <w:spacing w:line="240" w:lineRule="atLeast"/>
      <w:jc w:val="both"/>
    </w:pPr>
    <w:rPr>
      <w:rFonts w:ascii="標楷體" w:eastAsia="標楷體" w:hAnsi="標楷體" w:cs="標楷體"/>
    </w:rPr>
  </w:style>
  <w:style w:type="paragraph" w:styleId="a5">
    <w:name w:val="List Bullet"/>
    <w:basedOn w:val="a"/>
    <w:rsid w:val="00011C77"/>
    <w:pPr>
      <w:snapToGrid w:val="0"/>
      <w:spacing w:line="0" w:lineRule="atLeast"/>
      <w:ind w:left="1916" w:hanging="66"/>
      <w:textAlignment w:val="baseline"/>
    </w:pPr>
    <w:rPr>
      <w:rFonts w:eastAsia="標楷體"/>
      <w:sz w:val="20"/>
    </w:rPr>
  </w:style>
  <w:style w:type="paragraph" w:styleId="a6">
    <w:name w:val="Salutation"/>
    <w:basedOn w:val="a"/>
    <w:next w:val="a"/>
    <w:rsid w:val="00011C77"/>
    <w:pPr>
      <w:spacing w:line="360" w:lineRule="atLeast"/>
      <w:textAlignment w:val="baseline"/>
    </w:pPr>
    <w:rPr>
      <w:rFonts w:ascii="Book Antiqua" w:eastAsia="標楷體" w:hAnsi="Book Antiqua" w:cs="Book Antiqua"/>
      <w:spacing w:val="20"/>
    </w:rPr>
  </w:style>
  <w:style w:type="character" w:customStyle="1" w:styleId="30">
    <w:name w:val="本文縮排 3 字元"/>
    <w:link w:val="3"/>
    <w:rsid w:val="00011C77"/>
    <w:rPr>
      <w:rFonts w:eastAsia="華康隸書體W5"/>
      <w:kern w:val="1"/>
      <w:sz w:val="24"/>
      <w:lang w:val="en-US" w:eastAsia="ar-SA" w:bidi="ar-SA"/>
    </w:rPr>
  </w:style>
  <w:style w:type="paragraph" w:styleId="HTML">
    <w:name w:val="HTML Preformatted"/>
    <w:basedOn w:val="a"/>
    <w:link w:val="HTML0"/>
    <w:rsid w:val="00011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textAlignment w:val="baseline"/>
    </w:pPr>
    <w:rPr>
      <w:rFonts w:ascii="???, MingLiU" w:eastAsia="新細明體" w:hAnsi="???, MingLiU" w:cs="???, MingLiU"/>
      <w:color w:val="333333"/>
      <w:kern w:val="3"/>
      <w:szCs w:val="24"/>
      <w:lang w:eastAsia="zh-TW"/>
    </w:rPr>
  </w:style>
  <w:style w:type="character" w:customStyle="1" w:styleId="HTML0">
    <w:name w:val="HTML 預設格式 字元"/>
    <w:link w:val="HTML"/>
    <w:rsid w:val="00011C77"/>
    <w:rPr>
      <w:rFonts w:ascii="???, MingLiU" w:eastAsia="新細明體" w:hAnsi="???, MingLiU" w:cs="???, MingLiU"/>
      <w:color w:val="333333"/>
      <w:kern w:val="3"/>
      <w:sz w:val="24"/>
      <w:szCs w:val="24"/>
      <w:lang w:val="en-US" w:eastAsia="zh-TW" w:bidi="ar-SA"/>
    </w:rPr>
  </w:style>
  <w:style w:type="table" w:styleId="a7">
    <w:name w:val="Table Grid"/>
    <w:basedOn w:val="a1"/>
    <w:rsid w:val="00011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C7677"/>
    <w:rPr>
      <w:rFonts w:ascii="Calibri Light" w:eastAsia="新細明體" w:hAnsi="Calibri Light"/>
      <w:sz w:val="18"/>
      <w:szCs w:val="18"/>
    </w:rPr>
  </w:style>
  <w:style w:type="character" w:customStyle="1" w:styleId="a9">
    <w:name w:val="註解方塊文字 字元"/>
    <w:link w:val="a8"/>
    <w:rsid w:val="006C7677"/>
    <w:rPr>
      <w:rFonts w:ascii="Calibri Light" w:eastAsia="新細明體" w:hAnsi="Calibri Light" w:cs="Times New Roman"/>
      <w:kern w:val="1"/>
      <w:sz w:val="18"/>
      <w:szCs w:val="18"/>
      <w:lang w:eastAsia="ar-SA"/>
    </w:rPr>
  </w:style>
  <w:style w:type="paragraph" w:styleId="aa">
    <w:name w:val="header"/>
    <w:basedOn w:val="a"/>
    <w:link w:val="ab"/>
    <w:rsid w:val="003F75D0"/>
    <w:pPr>
      <w:tabs>
        <w:tab w:val="center" w:pos="4153"/>
        <w:tab w:val="right" w:pos="8306"/>
      </w:tabs>
      <w:snapToGrid w:val="0"/>
    </w:pPr>
    <w:rPr>
      <w:sz w:val="20"/>
    </w:rPr>
  </w:style>
  <w:style w:type="character" w:customStyle="1" w:styleId="ab">
    <w:name w:val="頁首 字元"/>
    <w:link w:val="aa"/>
    <w:rsid w:val="003F75D0"/>
    <w:rPr>
      <w:rFonts w:eastAsia="華康隸書體W5"/>
      <w:kern w:val="1"/>
      <w:lang w:eastAsia="ar-SA"/>
    </w:rPr>
  </w:style>
  <w:style w:type="paragraph" w:styleId="ac">
    <w:name w:val="footer"/>
    <w:basedOn w:val="a"/>
    <w:link w:val="ad"/>
    <w:rsid w:val="003F75D0"/>
    <w:pPr>
      <w:tabs>
        <w:tab w:val="center" w:pos="4153"/>
        <w:tab w:val="right" w:pos="8306"/>
      </w:tabs>
      <w:snapToGrid w:val="0"/>
    </w:pPr>
    <w:rPr>
      <w:sz w:val="20"/>
    </w:rPr>
  </w:style>
  <w:style w:type="character" w:customStyle="1" w:styleId="ad">
    <w:name w:val="頁尾 字元"/>
    <w:link w:val="ac"/>
    <w:rsid w:val="003F75D0"/>
    <w:rPr>
      <w:rFonts w:eastAsia="華康隸書體W5"/>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9</Pages>
  <Words>2017</Words>
  <Characters>11500</Characters>
  <Application>Microsoft Office Word</Application>
  <DocSecurity>0</DocSecurity>
  <Lines>95</Lines>
  <Paragraphs>26</Paragraphs>
  <ScaleCrop>false</ScaleCrop>
  <Company>Mechema</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【附件七】</dc:title>
  <dc:creator>suchen</dc:creator>
  <cp:lastModifiedBy>蔡文勳</cp:lastModifiedBy>
  <cp:revision>11</cp:revision>
  <cp:lastPrinted>2019-01-18T09:53:00Z</cp:lastPrinted>
  <dcterms:created xsi:type="dcterms:W3CDTF">2019-02-21T07:18:00Z</dcterms:created>
  <dcterms:modified xsi:type="dcterms:W3CDTF">2022-03-09T08:17:00Z</dcterms:modified>
</cp:coreProperties>
</file>